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80952">
      <w:pPr>
        <w:pStyle w:val="13"/>
        <w:widowControl/>
        <w:spacing w:before="0" w:after="0" w:line="560" w:lineRule="exact"/>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关于举办济南地区工程造价鉴定业务培训</w:t>
      </w:r>
    </w:p>
    <w:p w14:paraId="5051F69F">
      <w:pPr>
        <w:pStyle w:val="13"/>
        <w:widowControl/>
        <w:spacing w:before="0" w:after="0" w:line="560" w:lineRule="exact"/>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的通知</w:t>
      </w:r>
    </w:p>
    <w:p w14:paraId="0D8BA32C">
      <w:pPr>
        <w:pStyle w:val="11"/>
        <w:widowControl/>
        <w:spacing w:before="0" w:after="0" w:line="560" w:lineRule="exact"/>
        <w:ind w:firstLine="0" w:firstLineChars="0"/>
        <w:rPr>
          <w:rFonts w:hint="eastAsia" w:ascii="仿宋_GB2312" w:hAnsi="仿宋_GB2312" w:eastAsia="仿宋_GB2312" w:cs="仿宋_GB2312"/>
          <w:snapToGrid w:val="0"/>
          <w:color w:val="000000"/>
          <w:kern w:val="0"/>
          <w:sz w:val="32"/>
          <w:szCs w:val="32"/>
        </w:rPr>
      </w:pPr>
    </w:p>
    <w:p w14:paraId="41BE1E57">
      <w:pPr>
        <w:pStyle w:val="11"/>
        <w:widowControl/>
        <w:spacing w:before="0" w:after="0" w:line="560" w:lineRule="exact"/>
        <w:ind w:firstLine="0" w:firstLineChars="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b/>
          <w:bCs/>
          <w:snapToGrid w:val="0"/>
          <w:color w:val="000000"/>
          <w:kern w:val="0"/>
          <w:sz w:val="32"/>
          <w:szCs w:val="32"/>
        </w:rPr>
        <w:t>济南地区各工程造价鉴定机构：</w:t>
      </w:r>
    </w:p>
    <w:p w14:paraId="4BDC1B24">
      <w:pPr>
        <w:pStyle w:val="11"/>
        <w:widowControl/>
        <w:spacing w:before="0" w:after="0" w:line="560" w:lineRule="exact"/>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为进一步规范工程造价司法鉴定执业行为，提升鉴定质量和专业化水平，防范化解鉴定执业风险，落实建设工程纠纷“评调裁一体化”工作要求，持续加强省高院工程造价鉴定机构名册管理，服务保障审判执行工作高质量发展，决定开展济南地区工程造价名册内鉴定机构专项业务培训。本次培训为期两天，8月8日由济南市中级人民法院司法技术中心、省、市造价协会联合举办，8月9日由省、市造价协会主办。现将有关事项通知如下：</w:t>
      </w:r>
    </w:p>
    <w:p w14:paraId="0B1BDFA2">
      <w:pPr>
        <w:pStyle w:val="2"/>
        <w:widowControl/>
        <w:spacing w:before="0" w:line="560" w:lineRule="exact"/>
        <w:ind w:left="630"/>
        <w:rPr>
          <w:rFonts w:hint="eastAsia" w:ascii="黑体" w:hAnsi="黑体" w:eastAsia="黑体" w:cs="黑体"/>
          <w:szCs w:val="32"/>
          <w:lang w:val="en-US" w:eastAsia="zh-CN"/>
        </w:rPr>
      </w:pPr>
      <w:r>
        <w:rPr>
          <w:rFonts w:hint="eastAsia" w:ascii="黑体" w:hAnsi="黑体" w:cs="黑体"/>
          <w:szCs w:val="32"/>
        </w:rPr>
        <w:t>一、组织</w:t>
      </w:r>
      <w:r>
        <w:rPr>
          <w:rFonts w:hint="eastAsia" w:ascii="黑体" w:hAnsi="黑体" w:cs="黑体"/>
          <w:szCs w:val="32"/>
          <w:lang w:val="en-US" w:eastAsia="zh-CN"/>
        </w:rPr>
        <w:t>单位</w:t>
      </w:r>
    </w:p>
    <w:p w14:paraId="6E468205">
      <w:pPr>
        <w:spacing w:line="56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指导单位：</w:t>
      </w:r>
      <w:r>
        <w:rPr>
          <w:rFonts w:hint="eastAsia" w:ascii="仿宋_GB2312" w:hAnsi="仿宋_GB2312" w:eastAsia="仿宋_GB2312" w:cs="仿宋_GB2312"/>
          <w:sz w:val="32"/>
          <w:szCs w:val="32"/>
          <w:highlight w:val="none"/>
        </w:rPr>
        <w:t>济南市中级人民法院</w:t>
      </w:r>
      <w:r>
        <w:rPr>
          <w:rFonts w:hint="eastAsia" w:ascii="仿宋_GB2312" w:hAnsi="仿宋_GB2312" w:eastAsia="仿宋_GB2312" w:cs="仿宋_GB2312"/>
          <w:sz w:val="32"/>
          <w:szCs w:val="32"/>
          <w:highlight w:val="none"/>
          <w:lang w:val="en-US" w:eastAsia="zh-CN"/>
        </w:rPr>
        <w:t>司法</w:t>
      </w:r>
      <w:r>
        <w:rPr>
          <w:rFonts w:hint="eastAsia" w:ascii="仿宋_GB2312" w:hAnsi="仿宋_GB2312" w:eastAsia="仿宋_GB2312" w:cs="仿宋_GB2312"/>
          <w:sz w:val="32"/>
          <w:szCs w:val="32"/>
          <w:highlight w:val="none"/>
        </w:rPr>
        <w:t>技术</w:t>
      </w:r>
      <w:r>
        <w:rPr>
          <w:rFonts w:hint="eastAsia" w:ascii="仿宋_GB2312" w:hAnsi="仿宋_GB2312" w:eastAsia="仿宋_GB2312" w:cs="仿宋_GB2312"/>
          <w:sz w:val="32"/>
          <w:szCs w:val="32"/>
          <w:highlight w:val="none"/>
          <w:lang w:val="en-US" w:eastAsia="zh-CN"/>
        </w:rPr>
        <w:t>中心</w:t>
      </w:r>
    </w:p>
    <w:p w14:paraId="19533AD7">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主办单位：</w:t>
      </w:r>
      <w:r>
        <w:rPr>
          <w:rFonts w:hint="eastAsia" w:ascii="仿宋_GB2312" w:hAnsi="仿宋_GB2312" w:eastAsia="仿宋_GB2312" w:cs="仿宋_GB2312"/>
          <w:sz w:val="32"/>
          <w:szCs w:val="32"/>
        </w:rPr>
        <w:t>山东省工程建设标准造价协会</w:t>
      </w:r>
    </w:p>
    <w:p w14:paraId="5BE42EAC">
      <w:pPr>
        <w:spacing w:line="560" w:lineRule="exact"/>
        <w:ind w:firstLine="2240" w:firstLineChars="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济南市工程建设标准造价协会</w:t>
      </w:r>
    </w:p>
    <w:p w14:paraId="029E8D09">
      <w:pPr>
        <w:pStyle w:val="2"/>
        <w:widowControl/>
        <w:spacing w:before="0" w:line="560" w:lineRule="exact"/>
        <w:ind w:firstLine="640" w:firstLineChars="200"/>
        <w:rPr>
          <w:rFonts w:hint="eastAsia" w:ascii="黑体" w:hAnsi="黑体" w:cs="黑体"/>
          <w:szCs w:val="32"/>
        </w:rPr>
      </w:pPr>
      <w:r>
        <w:rPr>
          <w:rFonts w:hint="eastAsia" w:ascii="黑体" w:hAnsi="黑体" w:cs="黑体"/>
          <w:szCs w:val="32"/>
        </w:rPr>
        <w:t>二、培训时间</w:t>
      </w:r>
      <w:r>
        <w:rPr>
          <w:rFonts w:hint="eastAsia" w:ascii="黑体" w:hAnsi="黑体" w:cs="黑体"/>
          <w:szCs w:val="32"/>
          <w:lang w:val="en-US" w:eastAsia="zh-CN"/>
        </w:rPr>
        <w:t>及</w:t>
      </w:r>
      <w:r>
        <w:rPr>
          <w:rFonts w:hint="eastAsia" w:ascii="黑体" w:hAnsi="黑体" w:cs="黑体"/>
          <w:szCs w:val="32"/>
        </w:rPr>
        <w:t>地点</w:t>
      </w:r>
    </w:p>
    <w:p w14:paraId="656043D1">
      <w:pPr>
        <w:pStyle w:val="11"/>
        <w:widowControl/>
        <w:spacing w:before="0" w:after="0" w:line="560" w:lineRule="exact"/>
        <w:ind w:firstLine="643"/>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b/>
          <w:bCs/>
          <w:snapToGrid w:val="0"/>
          <w:color w:val="000000"/>
          <w:kern w:val="0"/>
          <w:sz w:val="32"/>
          <w:szCs w:val="32"/>
          <w:lang w:val="en-US" w:eastAsia="zh-CN"/>
        </w:rPr>
        <w:t>培训</w:t>
      </w:r>
      <w:r>
        <w:rPr>
          <w:rFonts w:hint="eastAsia" w:ascii="仿宋_GB2312" w:hAnsi="仿宋_GB2312" w:eastAsia="仿宋_GB2312" w:cs="仿宋_GB2312"/>
          <w:b/>
          <w:bCs/>
          <w:snapToGrid w:val="0"/>
          <w:color w:val="000000"/>
          <w:kern w:val="0"/>
          <w:sz w:val="32"/>
          <w:szCs w:val="32"/>
        </w:rPr>
        <w:t>时间：</w:t>
      </w:r>
      <w:r>
        <w:rPr>
          <w:rFonts w:hint="eastAsia" w:ascii="仿宋_GB2312" w:hAnsi="仿宋_GB2312" w:eastAsia="仿宋_GB2312" w:cs="仿宋_GB2312"/>
          <w:snapToGrid w:val="0"/>
          <w:color w:val="000000"/>
          <w:kern w:val="0"/>
          <w:sz w:val="32"/>
          <w:szCs w:val="32"/>
        </w:rPr>
        <w:t>2026年8月8日</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9日（周六、周日）</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lang w:val="en-US" w:eastAsia="zh-CN"/>
        </w:rPr>
        <w:t>每日</w:t>
      </w:r>
      <w:r>
        <w:rPr>
          <w:rFonts w:hint="eastAsia" w:ascii="仿宋_GB2312" w:hAnsi="仿宋_GB2312" w:eastAsia="仿宋_GB2312" w:cs="仿宋_GB2312"/>
          <w:snapToGrid w:val="0"/>
          <w:color w:val="000000"/>
          <w:kern w:val="0"/>
          <w:sz w:val="32"/>
          <w:szCs w:val="32"/>
        </w:rPr>
        <w:t>9:00-17:00集中授课。培训安排如有变动，将另行通知。</w:t>
      </w:r>
    </w:p>
    <w:p w14:paraId="60298AE0">
      <w:pPr>
        <w:pStyle w:val="11"/>
        <w:widowControl/>
        <w:spacing w:before="0" w:after="0" w:line="560" w:lineRule="exact"/>
        <w:ind w:firstLine="643"/>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b/>
          <w:bCs/>
          <w:snapToGrid w:val="0"/>
          <w:color w:val="000000"/>
          <w:kern w:val="0"/>
          <w:sz w:val="32"/>
          <w:szCs w:val="32"/>
          <w:lang w:val="en-US" w:eastAsia="zh-CN"/>
        </w:rPr>
        <w:t>培训</w:t>
      </w:r>
      <w:r>
        <w:rPr>
          <w:rFonts w:hint="eastAsia" w:ascii="仿宋_GB2312" w:hAnsi="仿宋_GB2312" w:eastAsia="仿宋_GB2312" w:cs="仿宋_GB2312"/>
          <w:b/>
          <w:bCs/>
          <w:snapToGrid w:val="0"/>
          <w:color w:val="000000"/>
          <w:kern w:val="0"/>
          <w:sz w:val="32"/>
          <w:szCs w:val="32"/>
        </w:rPr>
        <w:t>地点：</w:t>
      </w:r>
      <w:r>
        <w:rPr>
          <w:rFonts w:hint="eastAsia" w:ascii="仿宋_GB2312" w:hAnsi="仿宋_GB2312" w:eastAsia="仿宋_GB2312" w:cs="仿宋_GB2312"/>
          <w:snapToGrid w:val="0"/>
          <w:color w:val="000000"/>
          <w:kern w:val="0"/>
          <w:sz w:val="32"/>
          <w:szCs w:val="32"/>
        </w:rPr>
        <w:t>中共济南历城区委党校综合培训楼一楼109教室。</w:t>
      </w:r>
    </w:p>
    <w:p w14:paraId="18098A1C">
      <w:pPr>
        <w:pStyle w:val="11"/>
        <w:widowControl/>
        <w:spacing w:before="0" w:after="0" w:line="560" w:lineRule="exact"/>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b/>
          <w:bCs/>
          <w:snapToGrid w:val="0"/>
          <w:color w:val="000000"/>
          <w:kern w:val="0"/>
          <w:sz w:val="32"/>
          <w:szCs w:val="32"/>
          <w:lang w:val="en-US" w:eastAsia="zh-CN"/>
        </w:rPr>
        <w:t>详细地址：</w:t>
      </w:r>
      <w:r>
        <w:rPr>
          <w:rFonts w:hint="eastAsia" w:ascii="仿宋_GB2312" w:hAnsi="仿宋_GB2312" w:eastAsia="仿宋_GB2312" w:cs="仿宋_GB2312"/>
          <w:snapToGrid w:val="0"/>
          <w:color w:val="000000"/>
          <w:kern w:val="0"/>
          <w:sz w:val="32"/>
          <w:szCs w:val="32"/>
        </w:rPr>
        <w:t>济南市历城区彩西路历城区综合文化教育中心（中共济南市历城区委党校院内）。</w:t>
      </w:r>
    </w:p>
    <w:p w14:paraId="02538C4C">
      <w:pPr>
        <w:pStyle w:val="2"/>
        <w:widowControl/>
        <w:spacing w:before="0" w:line="560" w:lineRule="exact"/>
        <w:ind w:left="630"/>
        <w:rPr>
          <w:rFonts w:hint="eastAsia" w:ascii="黑体" w:hAnsi="黑体" w:cs="黑体"/>
          <w:szCs w:val="32"/>
        </w:rPr>
      </w:pPr>
      <w:r>
        <w:rPr>
          <w:rFonts w:hint="eastAsia" w:ascii="黑体" w:hAnsi="黑体" w:cs="黑体"/>
          <w:szCs w:val="32"/>
        </w:rPr>
        <w:t>三、培训目标</w:t>
      </w:r>
    </w:p>
    <w:p w14:paraId="559881E2">
      <w:pPr>
        <w:pStyle w:val="11"/>
        <w:widowControl/>
        <w:spacing w:before="0" w:after="0" w:line="560" w:lineRule="exact"/>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1. 统一执业标准：全面统一工程造价司法鉴定程序、技术规范及文书制作标准，有效杜绝同类案件鉴定尺度不一、结论口径不统一问题。</w:t>
      </w:r>
    </w:p>
    <w:p w14:paraId="0C435798">
      <w:pPr>
        <w:pStyle w:val="11"/>
        <w:widowControl/>
        <w:spacing w:before="0" w:after="0" w:line="560" w:lineRule="exact"/>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2. 提升履职能力：强化鉴定人员法律素养、证据审查、争议研判、现场勘验及出庭质证综合能力。</w:t>
      </w:r>
    </w:p>
    <w:p w14:paraId="07679E63">
      <w:pPr>
        <w:pStyle w:val="11"/>
        <w:widowControl/>
        <w:spacing w:before="0" w:after="0" w:line="560" w:lineRule="exact"/>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3. 严控执业风险：压实鉴定机构主体责任，健全内部三级复核、全程留痕、风险预警防控机制，有效降低鉴定异议、投诉追责风险。</w:t>
      </w:r>
    </w:p>
    <w:p w14:paraId="371FF73F">
      <w:pPr>
        <w:pStyle w:val="11"/>
        <w:widowControl/>
        <w:spacing w:before="0" w:after="0" w:line="560" w:lineRule="exact"/>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4. 完善监管体系：深化法院监管与行业自律联动机制，构建“入库、培训、考核、评价、动态调整”闭环管理体系，夯实名录动态管理成效。</w:t>
      </w:r>
    </w:p>
    <w:p w14:paraId="1AD09A36">
      <w:pPr>
        <w:pStyle w:val="2"/>
        <w:widowControl/>
        <w:spacing w:before="0" w:line="560" w:lineRule="exact"/>
        <w:ind w:left="630"/>
        <w:rPr>
          <w:rFonts w:hint="eastAsia" w:ascii="黑体" w:hAnsi="黑体" w:cs="黑体"/>
          <w:szCs w:val="32"/>
        </w:rPr>
      </w:pPr>
      <w:r>
        <w:rPr>
          <w:rFonts w:hint="eastAsia" w:ascii="黑体" w:hAnsi="黑体" w:cs="黑体"/>
          <w:szCs w:val="32"/>
        </w:rPr>
        <w:t>四、参</w:t>
      </w:r>
      <w:r>
        <w:rPr>
          <w:rFonts w:hint="eastAsia" w:ascii="黑体" w:hAnsi="黑体" w:cs="黑体"/>
          <w:szCs w:val="32"/>
          <w:lang w:val="en-US" w:eastAsia="zh-CN"/>
        </w:rPr>
        <w:t>训</w:t>
      </w:r>
      <w:r>
        <w:rPr>
          <w:rFonts w:hint="eastAsia" w:ascii="黑体" w:hAnsi="黑体" w:cs="黑体"/>
          <w:szCs w:val="32"/>
        </w:rPr>
        <w:t>人员</w:t>
      </w:r>
    </w:p>
    <w:p w14:paraId="06C8C85B">
      <w:pPr>
        <w:widowControl/>
        <w:kinsoku w:val="0"/>
        <w:autoSpaceDE w:val="0"/>
        <w:autoSpaceDN w:val="0"/>
        <w:adjustRightInd w:val="0"/>
        <w:snapToGrid w:val="0"/>
        <w:spacing w:line="560" w:lineRule="exact"/>
        <w:ind w:firstLine="640" w:firstLineChars="200"/>
        <w:jc w:val="left"/>
        <w:textAlignment w:val="baseline"/>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auto"/>
          <w:kern w:val="0"/>
          <w:sz w:val="32"/>
          <w:szCs w:val="32"/>
        </w:rPr>
        <w:t>省高院工程造价鉴定机构名册内济南地区鉴定机构业务负责人或技术骨干</w:t>
      </w:r>
      <w:r>
        <w:rPr>
          <w:rFonts w:hint="eastAsia" w:ascii="仿宋_GB2312" w:hAnsi="仿宋_GB2312" w:eastAsia="仿宋_GB2312" w:cs="仿宋_GB2312"/>
          <w:snapToGrid w:val="0"/>
          <w:color w:val="000000"/>
          <w:kern w:val="0"/>
          <w:sz w:val="32"/>
          <w:szCs w:val="32"/>
        </w:rPr>
        <w:t>。</w:t>
      </w:r>
    </w:p>
    <w:p w14:paraId="0EA275A5">
      <w:pPr>
        <w:pStyle w:val="2"/>
        <w:widowControl/>
        <w:numPr>
          <w:ilvl w:val="0"/>
          <w:numId w:val="1"/>
        </w:numPr>
        <w:spacing w:before="0" w:line="560" w:lineRule="exact"/>
        <w:ind w:left="630"/>
        <w:rPr>
          <w:rFonts w:hint="eastAsia" w:ascii="黑体" w:hAnsi="黑体" w:cs="黑体"/>
          <w:szCs w:val="32"/>
        </w:rPr>
      </w:pPr>
      <w:r>
        <w:rPr>
          <w:rFonts w:hint="eastAsia" w:ascii="黑体" w:hAnsi="黑体" w:cs="黑体"/>
          <w:szCs w:val="32"/>
        </w:rPr>
        <w:t>有关事项</w:t>
      </w:r>
    </w:p>
    <w:p w14:paraId="24F813AB">
      <w:pPr>
        <w:numPr>
          <w:ilvl w:val="0"/>
          <w:numId w:val="2"/>
        </w:num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报名</w:t>
      </w:r>
      <w:r>
        <w:rPr>
          <w:rFonts w:hint="eastAsia" w:ascii="仿宋_GB2312" w:hAnsi="仿宋_GB2312" w:eastAsia="仿宋_GB2312" w:cs="仿宋_GB2312"/>
          <w:b/>
          <w:bCs/>
          <w:sz w:val="32"/>
          <w:szCs w:val="32"/>
          <w:lang w:val="en-US" w:eastAsia="zh-CN"/>
        </w:rPr>
        <w:t>安排</w:t>
      </w:r>
    </w:p>
    <w:p w14:paraId="78947E09">
      <w:pPr>
        <w:widowControl/>
        <w:kinsoku w:val="0"/>
        <w:autoSpaceDE w:val="0"/>
        <w:autoSpaceDN w:val="0"/>
        <w:adjustRightInd w:val="0"/>
        <w:snapToGrid w:val="0"/>
        <w:spacing w:line="560" w:lineRule="exact"/>
        <w:ind w:firstLine="640" w:firstLineChars="200"/>
        <w:jc w:val="left"/>
        <w:textAlignment w:val="baseline"/>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lang w:val="en-US" w:eastAsia="zh-CN"/>
        </w:rPr>
        <w:t>1.</w:t>
      </w:r>
      <w:r>
        <w:rPr>
          <w:rFonts w:hint="eastAsia" w:ascii="仿宋_GB2312" w:hAnsi="仿宋_GB2312" w:eastAsia="仿宋_GB2312" w:cs="仿宋_GB2312"/>
          <w:snapToGrid w:val="0"/>
          <w:color w:val="000000"/>
          <w:kern w:val="0"/>
          <w:sz w:val="32"/>
          <w:szCs w:val="32"/>
        </w:rPr>
        <w:t>报名方式：参训单位扫描下方专属报名二维码完成线上报名。</w:t>
      </w:r>
    </w:p>
    <w:p w14:paraId="3B4CF65C">
      <w:pPr>
        <w:pStyle w:val="2"/>
        <w:numPr>
          <w:ilvl w:val="0"/>
          <w:numId w:val="0"/>
        </w:numPr>
        <w:jc w:val="center"/>
        <w:rPr>
          <w:rFonts w:hint="eastAsia" w:eastAsia="黑体"/>
          <w:lang w:eastAsia="zh-CN"/>
        </w:rPr>
      </w:pPr>
      <w:r>
        <w:rPr>
          <w:rFonts w:hint="eastAsia" w:eastAsia="黑体"/>
          <w:lang w:eastAsia="zh-CN"/>
        </w:rPr>
        <w:drawing>
          <wp:inline distT="0" distB="0" distL="114300" distR="114300">
            <wp:extent cx="1379220" cy="1379220"/>
            <wp:effectExtent l="0" t="0" r="5080" b="508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4"/>
                    <a:stretch>
                      <a:fillRect/>
                    </a:stretch>
                  </pic:blipFill>
                  <pic:spPr>
                    <a:xfrm>
                      <a:off x="0" y="0"/>
                      <a:ext cx="1379220" cy="1379220"/>
                    </a:xfrm>
                    <a:prstGeom prst="rect">
                      <a:avLst/>
                    </a:prstGeom>
                  </pic:spPr>
                </pic:pic>
              </a:graphicData>
            </a:graphic>
          </wp:inline>
        </w:drawing>
      </w:r>
    </w:p>
    <w:p w14:paraId="5BD4FB2D">
      <w:pPr>
        <w:widowControl/>
        <w:kinsoku w:val="0"/>
        <w:autoSpaceDE w:val="0"/>
        <w:autoSpaceDN w:val="0"/>
        <w:adjustRightInd w:val="0"/>
        <w:snapToGrid w:val="0"/>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2.名额控制：每家机构限报2人，本次培训总名额200人，按报名先后顺序额满即止。</w:t>
      </w:r>
    </w:p>
    <w:p w14:paraId="6AFBAD06">
      <w:pPr>
        <w:widowControl/>
        <w:kinsoku w:val="0"/>
        <w:autoSpaceDE w:val="0"/>
        <w:autoSpaceDN w:val="0"/>
        <w:adjustRightInd w:val="0"/>
        <w:snapToGrid w:val="0"/>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3.报名截止：</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8月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p>
    <w:p w14:paraId="13378544">
      <w:pPr>
        <w:ind w:left="640"/>
        <w:rPr>
          <w:b/>
          <w:bCs/>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val="en-US" w:eastAsia="zh-CN"/>
        </w:rPr>
        <w:t>培训要求</w:t>
      </w:r>
      <w:r>
        <w:rPr>
          <w:rFonts w:hint="eastAsia"/>
          <w:b/>
          <w:bCs/>
        </w:rPr>
        <w:t xml:space="preserve">  </w:t>
      </w:r>
    </w:p>
    <w:p w14:paraId="7C491C3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费用标准：本次培训免收培训费。省、市造价协会会员单位免收餐费、资料费；非会员单位参训人员餐费（人均50元）自理。</w:t>
      </w:r>
    </w:p>
    <w:p w14:paraId="51F391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考勤管理：参训人员需提前15分钟到场签到，严格遵守培训纪律，不得迟到、早退、缺训。培训期间手机调至静音，自觉维护会场秩序。</w:t>
      </w:r>
    </w:p>
    <w:p w14:paraId="271CD7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考核结业：本次培训8月9日下午培训结束后统一组织结业考核。考核合格人员统一颁发《工程造价鉴定业务培训结业证书》。</w:t>
      </w:r>
    </w:p>
    <w:p w14:paraId="7CABA505">
      <w:pPr>
        <w:pStyle w:val="11"/>
        <w:widowControl/>
        <w:spacing w:line="360" w:lineRule="auto"/>
        <w:ind w:left="640"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（三）</w:t>
      </w:r>
      <w:r>
        <w:rPr>
          <w:rFonts w:hint="eastAsia" w:ascii="仿宋_GB2312" w:hAnsi="仿宋_GB2312" w:eastAsia="仿宋_GB2312" w:cs="仿宋_GB2312"/>
          <w:b/>
          <w:bCs/>
          <w:sz w:val="32"/>
          <w:szCs w:val="32"/>
          <w:lang w:val="en-US" w:eastAsia="zh-CN"/>
        </w:rPr>
        <w:t>咨询</w:t>
      </w:r>
      <w:r>
        <w:rPr>
          <w:rFonts w:hint="eastAsia" w:ascii="仿宋_GB2312" w:hAnsi="仿宋_GB2312" w:eastAsia="仿宋_GB2312" w:cs="仿宋_GB2312"/>
          <w:b/>
          <w:bCs/>
          <w:sz w:val="32"/>
          <w:szCs w:val="32"/>
        </w:rPr>
        <w:t>联系</w:t>
      </w:r>
      <w:r>
        <w:rPr>
          <w:rFonts w:hint="eastAsia" w:ascii="仿宋_GB2312" w:hAnsi="仿宋_GB2312" w:eastAsia="仿宋_GB2312" w:cs="仿宋_GB2312"/>
          <w:b/>
          <w:bCs/>
          <w:sz w:val="32"/>
          <w:szCs w:val="32"/>
          <w:lang w:val="en-US" w:eastAsia="zh-CN"/>
        </w:rPr>
        <w:t>方式</w:t>
      </w:r>
    </w:p>
    <w:p w14:paraId="41037AF3">
      <w:pPr>
        <w:pStyle w:val="11"/>
        <w:widowControl/>
        <w:spacing w:line="360" w:lineRule="auto"/>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xml:space="preserve">1.山东省工程建设标准造价协会 </w:t>
      </w:r>
    </w:p>
    <w:p w14:paraId="69A63CE1">
      <w:pPr>
        <w:pStyle w:val="11"/>
        <w:widowControl/>
        <w:spacing w:line="360" w:lineRule="auto"/>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联系人：高中艳 联系电话：053180973087</w:t>
      </w:r>
    </w:p>
    <w:p w14:paraId="5194D817">
      <w:pPr>
        <w:pStyle w:val="11"/>
        <w:widowControl/>
        <w:spacing w:line="360" w:lineRule="auto"/>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xml:space="preserve">2.济南市工程建设标准造价协会 </w:t>
      </w:r>
    </w:p>
    <w:p w14:paraId="373F07DB">
      <w:pPr>
        <w:pStyle w:val="11"/>
        <w:widowControl/>
        <w:spacing w:line="360" w:lineRule="auto"/>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联系人：周芳宇 联系电话： 053161378920</w:t>
      </w:r>
    </w:p>
    <w:p w14:paraId="63145B85">
      <w:pPr>
        <w:pStyle w:val="2"/>
        <w:widowControl/>
        <w:numPr>
          <w:ilvl w:val="0"/>
          <w:numId w:val="1"/>
        </w:numPr>
        <w:spacing w:before="0" w:line="560" w:lineRule="exact"/>
        <w:ind w:left="630"/>
        <w:rPr>
          <w:rFonts w:hint="eastAsia" w:ascii="黑体" w:hAnsi="黑体" w:cs="黑体"/>
          <w:szCs w:val="32"/>
        </w:rPr>
      </w:pPr>
      <w:r>
        <w:rPr>
          <w:rFonts w:hint="eastAsia" w:ascii="黑体" w:hAnsi="黑体" w:cs="黑体"/>
          <w:szCs w:val="32"/>
        </w:rPr>
        <w:t>培训日程</w:t>
      </w:r>
    </w:p>
    <w:p w14:paraId="38A3BFF7">
      <w:pPr>
        <w:rPr>
          <w:rFonts w:hint="eastAsia" w:ascii="黑体" w:hAnsi="黑体" w:cs="黑体"/>
          <w:szCs w:val="32"/>
        </w:rPr>
      </w:pPr>
    </w:p>
    <w:p w14:paraId="713A386F">
      <w:pPr>
        <w:rPr>
          <w:rFonts w:hint="eastAsia"/>
        </w:rPr>
      </w:pP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467"/>
        <w:gridCol w:w="1577"/>
        <w:gridCol w:w="2842"/>
        <w:gridCol w:w="2726"/>
        <w:gridCol w:w="988"/>
      </w:tblGrid>
      <w:tr w14:paraId="5AC7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jc w:val="center"/>
        </w:trPr>
        <w:tc>
          <w:tcPr>
            <w:tcW w:w="1381" w:type="pct"/>
            <w:gridSpan w:val="3"/>
            <w:tcBorders>
              <w:top w:val="single" w:color="auto" w:sz="4" w:space="0"/>
              <w:left w:val="single" w:color="auto" w:sz="4" w:space="0"/>
              <w:bottom w:val="single" w:color="auto" w:sz="4" w:space="0"/>
              <w:right w:val="single" w:color="auto" w:sz="4" w:space="0"/>
            </w:tcBorders>
            <w:vAlign w:val="center"/>
          </w:tcPr>
          <w:p w14:paraId="19892152">
            <w:pPr>
              <w:widowControl/>
              <w:kinsoku w:val="0"/>
              <w:autoSpaceDE w:val="0"/>
              <w:autoSpaceDN w:val="0"/>
              <w:adjustRightInd w:val="0"/>
              <w:snapToGrid w:val="0"/>
              <w:spacing w:line="480" w:lineRule="exact"/>
              <w:jc w:val="center"/>
              <w:textAlignment w:val="baseline"/>
              <w:rPr>
                <w:rFonts w:ascii="方正小标宋简体" w:hAnsi="Arial" w:eastAsia="方正小标宋简体" w:cs="Arial"/>
                <w:snapToGrid w:val="0"/>
                <w:color w:val="000000"/>
                <w:kern w:val="0"/>
                <w:sz w:val="24"/>
                <w:lang w:eastAsia="en-US"/>
              </w:rPr>
            </w:pPr>
            <w:r>
              <w:rPr>
                <w:rFonts w:hint="eastAsia" w:ascii="方正小标宋简体" w:hAnsi="Arial" w:eastAsia="方正小标宋简体" w:cs="Arial"/>
                <w:snapToGrid w:val="0"/>
                <w:color w:val="000000"/>
                <w:kern w:val="0"/>
                <w:sz w:val="24"/>
                <w:lang w:eastAsia="en-US"/>
              </w:rPr>
              <w:t>时  间</w:t>
            </w:r>
          </w:p>
        </w:tc>
        <w:tc>
          <w:tcPr>
            <w:tcW w:w="1568" w:type="pct"/>
            <w:tcBorders>
              <w:top w:val="single" w:color="auto" w:sz="4" w:space="0"/>
              <w:left w:val="single" w:color="auto" w:sz="4" w:space="0"/>
              <w:bottom w:val="single" w:color="auto" w:sz="4" w:space="0"/>
              <w:right w:val="single" w:color="auto" w:sz="4" w:space="0"/>
            </w:tcBorders>
            <w:vAlign w:val="center"/>
          </w:tcPr>
          <w:p w14:paraId="338B7C45">
            <w:pPr>
              <w:widowControl/>
              <w:kinsoku w:val="0"/>
              <w:autoSpaceDE w:val="0"/>
              <w:autoSpaceDN w:val="0"/>
              <w:adjustRightInd w:val="0"/>
              <w:snapToGrid w:val="0"/>
              <w:spacing w:line="480" w:lineRule="exact"/>
              <w:jc w:val="center"/>
              <w:textAlignment w:val="baseline"/>
              <w:rPr>
                <w:rFonts w:ascii="方正小标宋简体" w:hAnsi="Arial" w:eastAsia="方正小标宋简体" w:cs="Arial"/>
                <w:snapToGrid w:val="0"/>
                <w:color w:val="000000"/>
                <w:kern w:val="0"/>
                <w:sz w:val="24"/>
                <w:lang w:eastAsia="en-US"/>
              </w:rPr>
            </w:pPr>
            <w:r>
              <w:rPr>
                <w:rFonts w:hint="eastAsia" w:ascii="方正小标宋简体" w:hAnsi="Arial" w:eastAsia="方正小标宋简体" w:cs="Arial"/>
                <w:snapToGrid w:val="0"/>
                <w:color w:val="000000"/>
                <w:kern w:val="0"/>
                <w:sz w:val="24"/>
                <w:lang w:eastAsia="en-US"/>
              </w:rPr>
              <w:t>内  容</w:t>
            </w:r>
          </w:p>
        </w:tc>
        <w:tc>
          <w:tcPr>
            <w:tcW w:w="1504" w:type="pct"/>
            <w:tcBorders>
              <w:top w:val="single" w:color="auto" w:sz="4" w:space="0"/>
              <w:left w:val="single" w:color="auto" w:sz="4" w:space="0"/>
              <w:bottom w:val="single" w:color="auto" w:sz="4" w:space="0"/>
              <w:right w:val="single" w:color="auto" w:sz="4" w:space="0"/>
            </w:tcBorders>
            <w:vAlign w:val="center"/>
          </w:tcPr>
          <w:p w14:paraId="15644DBE">
            <w:pPr>
              <w:widowControl/>
              <w:kinsoku w:val="0"/>
              <w:autoSpaceDE w:val="0"/>
              <w:autoSpaceDN w:val="0"/>
              <w:adjustRightInd w:val="0"/>
              <w:snapToGrid w:val="0"/>
              <w:spacing w:line="480" w:lineRule="exact"/>
              <w:jc w:val="center"/>
              <w:textAlignment w:val="baseline"/>
              <w:rPr>
                <w:rFonts w:ascii="方正小标宋简体" w:hAnsi="Arial" w:eastAsia="方正小标宋简体" w:cs="Arial"/>
                <w:snapToGrid w:val="0"/>
                <w:color w:val="000000"/>
                <w:kern w:val="0"/>
                <w:sz w:val="24"/>
                <w:lang w:eastAsia="en-US"/>
              </w:rPr>
            </w:pPr>
            <w:r>
              <w:rPr>
                <w:rFonts w:hint="eastAsia" w:ascii="方正小标宋简体" w:hAnsi="Arial" w:eastAsia="方正小标宋简体" w:cs="Arial"/>
                <w:snapToGrid w:val="0"/>
                <w:color w:val="000000"/>
                <w:kern w:val="0"/>
                <w:sz w:val="24"/>
                <w:lang w:eastAsia="en-US"/>
              </w:rPr>
              <w:t>主讲人</w:t>
            </w:r>
          </w:p>
        </w:tc>
        <w:tc>
          <w:tcPr>
            <w:tcW w:w="545" w:type="pct"/>
            <w:tcBorders>
              <w:top w:val="single" w:color="auto" w:sz="4" w:space="0"/>
              <w:left w:val="single" w:color="auto" w:sz="4" w:space="0"/>
              <w:bottom w:val="single" w:color="auto" w:sz="4" w:space="0"/>
              <w:right w:val="single" w:color="auto" w:sz="4" w:space="0"/>
            </w:tcBorders>
            <w:vAlign w:val="center"/>
          </w:tcPr>
          <w:p w14:paraId="5565CFB5">
            <w:pPr>
              <w:widowControl/>
              <w:kinsoku w:val="0"/>
              <w:autoSpaceDE w:val="0"/>
              <w:autoSpaceDN w:val="0"/>
              <w:adjustRightInd w:val="0"/>
              <w:snapToGrid w:val="0"/>
              <w:spacing w:line="480" w:lineRule="exact"/>
              <w:jc w:val="center"/>
              <w:textAlignment w:val="baseline"/>
              <w:rPr>
                <w:rFonts w:ascii="方正小标宋简体" w:hAnsi="Arial" w:eastAsia="方正小标宋简体" w:cs="Arial"/>
                <w:snapToGrid w:val="0"/>
                <w:color w:val="000000"/>
                <w:kern w:val="0"/>
                <w:sz w:val="24"/>
                <w:lang w:eastAsia="en-US"/>
              </w:rPr>
            </w:pPr>
            <w:r>
              <w:rPr>
                <w:rFonts w:hint="eastAsia" w:ascii="方正小标宋简体" w:hAnsi="Arial" w:eastAsia="方正小标宋简体" w:cs="Arial"/>
                <w:snapToGrid w:val="0"/>
                <w:color w:val="000000"/>
                <w:kern w:val="0"/>
                <w:sz w:val="24"/>
                <w:lang w:eastAsia="en-US"/>
              </w:rPr>
              <w:t>主持人</w:t>
            </w:r>
          </w:p>
        </w:tc>
      </w:tr>
      <w:tr w14:paraId="10A3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253" w:type="pct"/>
            <w:vMerge w:val="restart"/>
            <w:tcBorders>
              <w:top w:val="single" w:color="auto" w:sz="4" w:space="0"/>
              <w:left w:val="single" w:color="auto" w:sz="4" w:space="0"/>
              <w:right w:val="single" w:color="auto" w:sz="4" w:space="0"/>
            </w:tcBorders>
            <w:vAlign w:val="center"/>
          </w:tcPr>
          <w:p w14:paraId="6B2101AB">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r>
              <w:rPr>
                <w:rFonts w:hint="eastAsia" w:ascii="仿宋_GB2312" w:hAnsi="Arial" w:eastAsia="仿宋_GB2312" w:cs="Arial"/>
                <w:snapToGrid w:val="0"/>
                <w:color w:val="000000"/>
                <w:kern w:val="0"/>
                <w:sz w:val="24"/>
              </w:rPr>
              <w:t>8</w:t>
            </w:r>
            <w:r>
              <w:rPr>
                <w:rFonts w:hint="eastAsia" w:ascii="仿宋_GB2312" w:hAnsi="Arial" w:eastAsia="仿宋_GB2312" w:cs="Arial"/>
                <w:snapToGrid w:val="0"/>
                <w:color w:val="000000"/>
                <w:kern w:val="0"/>
                <w:sz w:val="24"/>
                <w:lang w:eastAsia="en-US"/>
              </w:rPr>
              <w:t>月</w:t>
            </w:r>
          </w:p>
          <w:p w14:paraId="0CE45864">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r>
              <w:rPr>
                <w:rFonts w:hint="eastAsia" w:ascii="仿宋_GB2312" w:hAnsi="Arial" w:eastAsia="仿宋_GB2312" w:cs="Arial"/>
                <w:snapToGrid w:val="0"/>
                <w:color w:val="000000"/>
                <w:kern w:val="0"/>
                <w:sz w:val="24"/>
              </w:rPr>
              <w:t>8</w:t>
            </w:r>
            <w:r>
              <w:rPr>
                <w:rFonts w:hint="eastAsia" w:ascii="仿宋_GB2312" w:hAnsi="Arial" w:eastAsia="仿宋_GB2312" w:cs="Arial"/>
                <w:snapToGrid w:val="0"/>
                <w:color w:val="000000"/>
                <w:kern w:val="0"/>
                <w:sz w:val="24"/>
                <w:lang w:eastAsia="en-US"/>
              </w:rPr>
              <w:t>日</w:t>
            </w:r>
          </w:p>
        </w:tc>
        <w:tc>
          <w:tcPr>
            <w:tcW w:w="258" w:type="pct"/>
            <w:tcBorders>
              <w:top w:val="single" w:color="auto" w:sz="4" w:space="0"/>
              <w:left w:val="single" w:color="auto" w:sz="4" w:space="0"/>
              <w:right w:val="single" w:color="auto" w:sz="4" w:space="0"/>
            </w:tcBorders>
            <w:vAlign w:val="center"/>
          </w:tcPr>
          <w:p w14:paraId="37C1C339">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r>
              <w:rPr>
                <w:rFonts w:hint="eastAsia" w:ascii="仿宋_GB2312" w:hAnsi="Arial" w:eastAsia="仿宋_GB2312" w:cs="Arial"/>
                <w:snapToGrid w:val="0"/>
                <w:color w:val="000000"/>
                <w:kern w:val="0"/>
                <w:sz w:val="24"/>
                <w:lang w:eastAsia="en-US"/>
              </w:rPr>
              <w:t>上午</w:t>
            </w:r>
          </w:p>
        </w:tc>
        <w:tc>
          <w:tcPr>
            <w:tcW w:w="868" w:type="pct"/>
            <w:tcBorders>
              <w:top w:val="single" w:color="auto" w:sz="4" w:space="0"/>
              <w:left w:val="single" w:color="auto" w:sz="4" w:space="0"/>
              <w:right w:val="single" w:color="auto" w:sz="4" w:space="0"/>
            </w:tcBorders>
            <w:vAlign w:val="center"/>
          </w:tcPr>
          <w:p w14:paraId="720C193C">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highlight w:val="none"/>
              </w:rPr>
            </w:pPr>
            <w:r>
              <w:rPr>
                <w:rFonts w:hint="eastAsia" w:ascii="仿宋_GB2312" w:hAnsi="仿宋" w:eastAsia="仿宋_GB2312" w:cs="仿宋_GB2312"/>
                <w:color w:val="000000"/>
                <w:sz w:val="24"/>
                <w:highlight w:val="none"/>
              </w:rPr>
              <w:t>9:</w:t>
            </w:r>
            <w:r>
              <w:rPr>
                <w:rFonts w:hint="eastAsia" w:ascii="仿宋_GB2312" w:hAnsi="仿宋" w:eastAsia="仿宋_GB2312" w:cs="仿宋_GB2312"/>
                <w:color w:val="000000"/>
                <w:sz w:val="24"/>
                <w:highlight w:val="none"/>
                <w:lang w:val="en-US" w:eastAsia="zh-CN"/>
              </w:rPr>
              <w:t>0</w:t>
            </w:r>
            <w:r>
              <w:rPr>
                <w:rFonts w:hint="eastAsia" w:ascii="仿宋_GB2312" w:hAnsi="仿宋" w:eastAsia="仿宋_GB2312" w:cs="仿宋_GB2312"/>
                <w:color w:val="000000"/>
                <w:sz w:val="24"/>
                <w:highlight w:val="none"/>
              </w:rPr>
              <w:t>0-12:</w:t>
            </w:r>
            <w:r>
              <w:rPr>
                <w:rFonts w:hint="eastAsia" w:ascii="仿宋_GB2312" w:hAnsi="仿宋" w:eastAsia="仿宋_GB2312" w:cs="仿宋_GB2312"/>
                <w:color w:val="000000"/>
                <w:sz w:val="24"/>
                <w:highlight w:val="none"/>
                <w:lang w:val="en-US" w:eastAsia="zh-CN"/>
              </w:rPr>
              <w:t>0</w:t>
            </w:r>
            <w:r>
              <w:rPr>
                <w:rFonts w:hint="eastAsia" w:ascii="仿宋_GB2312" w:hAnsi="仿宋" w:eastAsia="仿宋_GB2312" w:cs="仿宋_GB2312"/>
                <w:color w:val="000000"/>
                <w:sz w:val="24"/>
                <w:highlight w:val="none"/>
              </w:rPr>
              <w:t>0</w:t>
            </w:r>
          </w:p>
        </w:tc>
        <w:tc>
          <w:tcPr>
            <w:tcW w:w="1568" w:type="pct"/>
            <w:tcBorders>
              <w:top w:val="single" w:color="auto" w:sz="4" w:space="0"/>
              <w:left w:val="single" w:color="auto" w:sz="4" w:space="0"/>
              <w:right w:val="single" w:color="auto" w:sz="4" w:space="0"/>
            </w:tcBorders>
            <w:vAlign w:val="center"/>
          </w:tcPr>
          <w:p w14:paraId="7C25F9E9">
            <w:pPr>
              <w:adjustRightInd w:val="0"/>
              <w:snapToGrid w:val="0"/>
              <w:spacing w:line="360" w:lineRule="exact"/>
              <w:jc w:val="center"/>
              <w:rPr>
                <w:rFonts w:ascii="仿宋_GB2312" w:hAnsi="Arial" w:eastAsia="仿宋_GB2312" w:cs="Arial"/>
                <w:snapToGrid w:val="0"/>
                <w:color w:val="000000"/>
                <w:kern w:val="0"/>
                <w:sz w:val="28"/>
                <w:szCs w:val="28"/>
                <w:highlight w:val="none"/>
              </w:rPr>
            </w:pPr>
            <w:r>
              <w:rPr>
                <w:rFonts w:hint="eastAsia" w:ascii="仿宋_GB2312" w:hAnsi="仿宋" w:eastAsia="仿宋_GB2312" w:cs="仿宋_GB2312"/>
                <w:color w:val="000000"/>
                <w:sz w:val="24"/>
                <w:highlight w:val="none"/>
              </w:rPr>
              <w:t>工程造价鉴定中的法律法规及衔接</w:t>
            </w:r>
          </w:p>
        </w:tc>
        <w:tc>
          <w:tcPr>
            <w:tcW w:w="1504" w:type="pct"/>
            <w:tcBorders>
              <w:top w:val="single" w:color="auto" w:sz="4" w:space="0"/>
              <w:left w:val="single" w:color="auto" w:sz="4" w:space="0"/>
              <w:right w:val="single" w:color="auto" w:sz="4" w:space="0"/>
            </w:tcBorders>
            <w:vAlign w:val="center"/>
          </w:tcPr>
          <w:p w14:paraId="5D85B283">
            <w:pPr>
              <w:adjustRightInd w:val="0"/>
              <w:snapToGrid w:val="0"/>
              <w:spacing w:line="240" w:lineRule="atLeast"/>
              <w:jc w:val="center"/>
              <w:rPr>
                <w:rFonts w:ascii="仿宋_GB2312" w:hAnsi="Arial" w:eastAsia="仿宋_GB2312" w:cs="Arial"/>
                <w:snapToGrid w:val="0"/>
                <w:color w:val="000000"/>
                <w:kern w:val="0"/>
                <w:sz w:val="24"/>
                <w:highlight w:val="none"/>
              </w:rPr>
            </w:pPr>
            <w:r>
              <w:rPr>
                <w:rFonts w:hint="eastAsia" w:ascii="仿宋_GB2312" w:hAnsi="仿宋" w:eastAsia="仿宋_GB2312" w:cs="仿宋_GB2312"/>
                <w:color w:val="000000"/>
                <w:sz w:val="24"/>
                <w:highlight w:val="none"/>
              </w:rPr>
              <w:t>甘肃高级人民法院司法鉴定技术处副处长梁燕</w:t>
            </w:r>
          </w:p>
        </w:tc>
        <w:tc>
          <w:tcPr>
            <w:tcW w:w="545" w:type="pct"/>
            <w:tcBorders>
              <w:top w:val="single" w:color="auto" w:sz="4" w:space="0"/>
              <w:left w:val="single" w:color="auto" w:sz="4" w:space="0"/>
              <w:right w:val="single" w:color="auto" w:sz="4" w:space="0"/>
            </w:tcBorders>
            <w:vAlign w:val="center"/>
          </w:tcPr>
          <w:p w14:paraId="24CAC916">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highlight w:val="none"/>
              </w:rPr>
            </w:pPr>
            <w:r>
              <w:rPr>
                <w:rFonts w:hint="eastAsia" w:ascii="仿宋_GB2312" w:hAnsi="Arial" w:eastAsia="仿宋_GB2312" w:cs="Arial"/>
                <w:snapToGrid w:val="0"/>
                <w:color w:val="000000"/>
                <w:kern w:val="0"/>
                <w:sz w:val="24"/>
                <w:highlight w:val="none"/>
              </w:rPr>
              <w:t>娄中元</w:t>
            </w:r>
          </w:p>
        </w:tc>
      </w:tr>
      <w:tr w14:paraId="3EFA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253" w:type="pct"/>
            <w:vMerge w:val="continue"/>
            <w:tcBorders>
              <w:left w:val="single" w:color="auto" w:sz="4" w:space="0"/>
              <w:right w:val="single" w:color="auto" w:sz="4" w:space="0"/>
            </w:tcBorders>
            <w:vAlign w:val="center"/>
          </w:tcPr>
          <w:p w14:paraId="4030E395">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258" w:type="pct"/>
            <w:vMerge w:val="restart"/>
            <w:tcBorders>
              <w:top w:val="single" w:color="auto" w:sz="4" w:space="0"/>
              <w:left w:val="single" w:color="auto" w:sz="4" w:space="0"/>
              <w:right w:val="single" w:color="auto" w:sz="4" w:space="0"/>
            </w:tcBorders>
            <w:vAlign w:val="center"/>
          </w:tcPr>
          <w:p w14:paraId="35F6E9CC">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r>
              <w:rPr>
                <w:rFonts w:hint="eastAsia" w:ascii="仿宋_GB2312" w:hAnsi="Arial" w:eastAsia="仿宋_GB2312" w:cs="Arial"/>
                <w:snapToGrid w:val="0"/>
                <w:color w:val="000000"/>
                <w:kern w:val="0"/>
                <w:sz w:val="24"/>
                <w:lang w:eastAsia="en-US"/>
              </w:rPr>
              <w:t>下午</w:t>
            </w:r>
          </w:p>
        </w:tc>
        <w:tc>
          <w:tcPr>
            <w:tcW w:w="868" w:type="pct"/>
            <w:tcBorders>
              <w:top w:val="single" w:color="auto" w:sz="4" w:space="0"/>
              <w:left w:val="single" w:color="auto" w:sz="4" w:space="0"/>
              <w:bottom w:val="single" w:color="auto" w:sz="4" w:space="0"/>
              <w:right w:val="single" w:color="auto" w:sz="4" w:space="0"/>
            </w:tcBorders>
            <w:vAlign w:val="center"/>
          </w:tcPr>
          <w:p w14:paraId="15408A36">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r>
              <w:rPr>
                <w:rFonts w:hint="eastAsia" w:ascii="仿宋_GB2312" w:hAnsi="Arial" w:eastAsia="仿宋_GB2312" w:cs="Arial"/>
                <w:snapToGrid w:val="0"/>
                <w:color w:val="000000"/>
                <w:kern w:val="0"/>
                <w:sz w:val="24"/>
                <w:lang w:eastAsia="en-US"/>
              </w:rPr>
              <w:t>1</w:t>
            </w:r>
            <w:r>
              <w:rPr>
                <w:rFonts w:hint="eastAsia" w:ascii="仿宋_GB2312" w:hAnsi="Arial" w:eastAsia="仿宋_GB2312" w:cs="Arial"/>
                <w:snapToGrid w:val="0"/>
                <w:color w:val="000000"/>
                <w:kern w:val="0"/>
                <w:sz w:val="24"/>
              </w:rPr>
              <w:t>3:2</w:t>
            </w:r>
            <w:r>
              <w:rPr>
                <w:rFonts w:hint="eastAsia" w:ascii="仿宋_GB2312" w:hAnsi="Arial" w:eastAsia="仿宋_GB2312" w:cs="Arial"/>
                <w:snapToGrid w:val="0"/>
                <w:color w:val="000000"/>
                <w:kern w:val="0"/>
                <w:sz w:val="24"/>
                <w:lang w:eastAsia="en-US"/>
              </w:rPr>
              <w:t>0</w:t>
            </w:r>
            <w:bookmarkStart w:id="0" w:name="OLE_LINK7"/>
            <w:r>
              <w:rPr>
                <w:rFonts w:hint="eastAsia" w:ascii="仿宋_GB2312" w:hAnsi="Arial" w:eastAsia="仿宋_GB2312" w:cs="Arial"/>
                <w:snapToGrid w:val="0"/>
                <w:color w:val="000000"/>
                <w:kern w:val="0"/>
                <w:sz w:val="24"/>
              </w:rPr>
              <w:t>-</w:t>
            </w:r>
            <w:r>
              <w:rPr>
                <w:rFonts w:hint="eastAsia" w:ascii="仿宋_GB2312" w:hAnsi="Arial" w:eastAsia="仿宋_GB2312" w:cs="Arial"/>
                <w:snapToGrid w:val="0"/>
                <w:color w:val="000000"/>
                <w:kern w:val="0"/>
                <w:sz w:val="24"/>
                <w:lang w:eastAsia="en-US"/>
              </w:rPr>
              <w:t>1</w:t>
            </w:r>
            <w:r>
              <w:rPr>
                <w:rFonts w:hint="eastAsia" w:ascii="仿宋_GB2312" w:hAnsi="Arial" w:eastAsia="仿宋_GB2312" w:cs="Arial"/>
                <w:snapToGrid w:val="0"/>
                <w:color w:val="000000"/>
                <w:kern w:val="0"/>
                <w:sz w:val="24"/>
              </w:rPr>
              <w:t>5:20</w:t>
            </w:r>
            <w:bookmarkEnd w:id="0"/>
          </w:p>
        </w:tc>
        <w:tc>
          <w:tcPr>
            <w:tcW w:w="1568" w:type="pct"/>
            <w:tcBorders>
              <w:top w:val="single" w:color="auto" w:sz="4" w:space="0"/>
              <w:left w:val="single" w:color="auto" w:sz="4" w:space="0"/>
              <w:bottom w:val="single" w:color="auto" w:sz="4" w:space="0"/>
              <w:right w:val="single" w:color="auto" w:sz="4" w:space="0"/>
            </w:tcBorders>
            <w:vAlign w:val="center"/>
          </w:tcPr>
          <w:p w14:paraId="7424B631">
            <w:pPr>
              <w:adjustRightInd w:val="0"/>
              <w:snapToGrid w:val="0"/>
              <w:spacing w:line="360" w:lineRule="exact"/>
              <w:jc w:val="center"/>
              <w:rPr>
                <w:rFonts w:hint="eastAsia" w:ascii="仿宋_GB2312" w:hAnsi="仿宋" w:eastAsia="仿宋_GB2312" w:cs="仿宋_GB2312"/>
                <w:color w:val="000000"/>
                <w:sz w:val="24"/>
              </w:rPr>
            </w:pPr>
            <w:r>
              <w:rPr>
                <w:rFonts w:hint="eastAsia" w:ascii="仿宋_GB2312" w:hAnsi="仿宋" w:eastAsia="仿宋_GB2312" w:cs="仿宋_GB2312"/>
                <w:color w:val="000000"/>
                <w:sz w:val="24"/>
              </w:rPr>
              <w:t>鉴定人视角下的执业合规讲解</w:t>
            </w:r>
          </w:p>
        </w:tc>
        <w:tc>
          <w:tcPr>
            <w:tcW w:w="1504" w:type="pct"/>
            <w:tcBorders>
              <w:top w:val="single" w:color="auto" w:sz="4" w:space="0"/>
              <w:left w:val="single" w:color="auto" w:sz="4" w:space="0"/>
              <w:bottom w:val="single" w:color="auto" w:sz="4" w:space="0"/>
              <w:right w:val="single" w:color="auto" w:sz="4" w:space="0"/>
            </w:tcBorders>
            <w:vAlign w:val="center"/>
          </w:tcPr>
          <w:p w14:paraId="41A69B40">
            <w:pPr>
              <w:adjustRightInd w:val="0"/>
              <w:snapToGrid w:val="0"/>
              <w:spacing w:line="240" w:lineRule="atLeast"/>
              <w:jc w:val="center"/>
              <w:rPr>
                <w:rFonts w:hint="eastAsia" w:ascii="仿宋_GB2312" w:hAnsi="仿宋" w:eastAsia="仿宋_GB2312" w:cs="仿宋_GB2312"/>
                <w:color w:val="000000"/>
                <w:sz w:val="24"/>
              </w:rPr>
            </w:pPr>
            <w:r>
              <w:rPr>
                <w:rFonts w:hint="eastAsia" w:ascii="仿宋_GB2312" w:hAnsi="仿宋" w:eastAsia="仿宋_GB2312" w:cs="仿宋_GB2312"/>
                <w:color w:val="000000"/>
                <w:sz w:val="24"/>
              </w:rPr>
              <w:t>省造价协会秘书长</w:t>
            </w:r>
          </w:p>
          <w:p w14:paraId="08E27415">
            <w:pPr>
              <w:adjustRightInd w:val="0"/>
              <w:snapToGrid w:val="0"/>
              <w:spacing w:line="240" w:lineRule="atLeast"/>
              <w:jc w:val="center"/>
              <w:rPr>
                <w:rFonts w:hint="eastAsia" w:ascii="仿宋_GB2312" w:hAnsi="仿宋" w:eastAsia="仿宋_GB2312" w:cs="仿宋_GB2312"/>
                <w:color w:val="000000"/>
                <w:sz w:val="24"/>
              </w:rPr>
            </w:pPr>
            <w:r>
              <w:rPr>
                <w:rFonts w:hint="eastAsia" w:ascii="仿宋_GB2312" w:hAnsi="仿宋" w:eastAsia="仿宋_GB2312" w:cs="仿宋_GB2312"/>
                <w:color w:val="000000"/>
                <w:sz w:val="24"/>
              </w:rPr>
              <w:t>于振平</w:t>
            </w:r>
          </w:p>
        </w:tc>
        <w:tc>
          <w:tcPr>
            <w:tcW w:w="545" w:type="pct"/>
            <w:tcBorders>
              <w:top w:val="single" w:color="auto" w:sz="4" w:space="0"/>
              <w:left w:val="single" w:color="auto" w:sz="4" w:space="0"/>
              <w:bottom w:val="single" w:color="auto" w:sz="4" w:space="0"/>
              <w:right w:val="single" w:color="auto" w:sz="4" w:space="0"/>
            </w:tcBorders>
            <w:vAlign w:val="center"/>
          </w:tcPr>
          <w:p w14:paraId="5BFC24A8">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r>
              <w:rPr>
                <w:rFonts w:hint="eastAsia" w:ascii="仿宋_GB2312" w:hAnsi="Arial" w:eastAsia="仿宋_GB2312" w:cs="Arial"/>
                <w:snapToGrid w:val="0"/>
                <w:color w:val="000000"/>
                <w:kern w:val="0"/>
                <w:sz w:val="24"/>
              </w:rPr>
              <w:t>娄中元</w:t>
            </w:r>
          </w:p>
        </w:tc>
      </w:tr>
      <w:tr w14:paraId="7824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253" w:type="pct"/>
            <w:vMerge w:val="continue"/>
            <w:tcBorders>
              <w:left w:val="single" w:color="auto" w:sz="4" w:space="0"/>
              <w:right w:val="single" w:color="auto" w:sz="4" w:space="0"/>
            </w:tcBorders>
            <w:vAlign w:val="center"/>
          </w:tcPr>
          <w:p w14:paraId="37CF4F9A">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258" w:type="pct"/>
            <w:vMerge w:val="continue"/>
            <w:tcBorders>
              <w:left w:val="single" w:color="auto" w:sz="4" w:space="0"/>
              <w:right w:val="single" w:color="auto" w:sz="4" w:space="0"/>
            </w:tcBorders>
            <w:vAlign w:val="center"/>
          </w:tcPr>
          <w:p w14:paraId="352B0C8F">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868" w:type="pct"/>
            <w:tcBorders>
              <w:top w:val="single" w:color="auto" w:sz="4" w:space="0"/>
              <w:left w:val="single" w:color="auto" w:sz="4" w:space="0"/>
              <w:bottom w:val="single" w:color="auto" w:sz="4" w:space="0"/>
              <w:right w:val="single" w:color="auto" w:sz="4" w:space="0"/>
            </w:tcBorders>
            <w:vAlign w:val="center"/>
          </w:tcPr>
          <w:p w14:paraId="0ED1A5DF">
            <w:pPr>
              <w:adjustRightInd w:val="0"/>
              <w:snapToGrid w:val="0"/>
              <w:spacing w:line="312" w:lineRule="auto"/>
              <w:jc w:val="center"/>
              <w:rPr>
                <w:rFonts w:hint="eastAsia" w:ascii="仿宋_GB2312" w:hAnsi="仿宋" w:eastAsia="仿宋_GB2312" w:cs="仿宋_GB2312"/>
                <w:color w:val="000000"/>
                <w:sz w:val="22"/>
                <w:szCs w:val="22"/>
                <w:lang w:eastAsia="en-US"/>
              </w:rPr>
            </w:pPr>
            <w:r>
              <w:rPr>
                <w:rFonts w:hint="eastAsia" w:ascii="仿宋_GB2312" w:hAnsi="仿宋" w:eastAsia="仿宋_GB2312" w:cs="仿宋_GB2312"/>
                <w:color w:val="000000"/>
                <w:sz w:val="24"/>
              </w:rPr>
              <w:t>15:20-15:40</w:t>
            </w:r>
          </w:p>
        </w:tc>
        <w:tc>
          <w:tcPr>
            <w:tcW w:w="1568" w:type="pct"/>
            <w:tcBorders>
              <w:top w:val="single" w:color="auto" w:sz="4" w:space="0"/>
              <w:left w:val="single" w:color="auto" w:sz="4" w:space="0"/>
              <w:bottom w:val="single" w:color="auto" w:sz="4" w:space="0"/>
              <w:right w:val="single" w:color="auto" w:sz="4" w:space="0"/>
            </w:tcBorders>
            <w:vAlign w:val="center"/>
          </w:tcPr>
          <w:p w14:paraId="5FE04438">
            <w:pPr>
              <w:spacing w:line="360" w:lineRule="exact"/>
              <w:jc w:val="center"/>
              <w:rPr>
                <w:rFonts w:hint="eastAsia" w:ascii="仿宋_GB2312" w:hAnsi="仿宋" w:eastAsia="仿宋_GB2312" w:cs="仿宋_GB2312"/>
                <w:color w:val="000000"/>
                <w:sz w:val="24"/>
                <w:lang w:eastAsia="en-US"/>
              </w:rPr>
            </w:pPr>
            <w:r>
              <w:rPr>
                <w:rFonts w:hint="eastAsia" w:ascii="仿宋_GB2312" w:hAnsi="仿宋" w:eastAsia="仿宋_GB2312" w:cs="仿宋_GB2312"/>
                <w:color w:val="000000"/>
                <w:sz w:val="24"/>
              </w:rPr>
              <w:t>法院领导总结讲话</w:t>
            </w:r>
          </w:p>
        </w:tc>
        <w:tc>
          <w:tcPr>
            <w:tcW w:w="1504" w:type="pct"/>
            <w:tcBorders>
              <w:top w:val="single" w:color="auto" w:sz="4" w:space="0"/>
              <w:left w:val="single" w:color="auto" w:sz="4" w:space="0"/>
              <w:bottom w:val="single" w:color="auto" w:sz="4" w:space="0"/>
              <w:right w:val="single" w:color="auto" w:sz="4" w:space="0"/>
            </w:tcBorders>
            <w:vAlign w:val="center"/>
          </w:tcPr>
          <w:p w14:paraId="2B209CBF">
            <w:pPr>
              <w:spacing w:line="320" w:lineRule="exact"/>
              <w:jc w:val="center"/>
              <w:rPr>
                <w:rFonts w:hint="eastAsia" w:ascii="仿宋_GB2312" w:hAnsi="仿宋" w:eastAsia="仿宋_GB2312" w:cs="仿宋_GB2312"/>
                <w:color w:val="000000"/>
                <w:sz w:val="24"/>
              </w:rPr>
            </w:pPr>
            <w:r>
              <w:rPr>
                <w:rFonts w:hint="eastAsia" w:ascii="仿宋_GB2312" w:hAnsi="仿宋" w:eastAsia="仿宋_GB2312" w:cs="仿宋_GB2312"/>
                <w:color w:val="000000"/>
                <w:sz w:val="24"/>
              </w:rPr>
              <w:t>中院副院长</w:t>
            </w:r>
          </w:p>
          <w:p w14:paraId="6CD8E779">
            <w:pPr>
              <w:spacing w:line="320" w:lineRule="exact"/>
              <w:jc w:val="center"/>
              <w:rPr>
                <w:rFonts w:hint="eastAsia" w:ascii="仿宋_GB2312" w:hAnsi="仿宋" w:eastAsia="仿宋_GB2312" w:cs="仿宋_GB2312"/>
                <w:color w:val="000000"/>
                <w:sz w:val="24"/>
                <w:lang w:eastAsia="en-US"/>
              </w:rPr>
            </w:pPr>
            <w:r>
              <w:rPr>
                <w:rFonts w:hint="eastAsia" w:ascii="仿宋_GB2312" w:hAnsi="仿宋" w:eastAsia="仿宋_GB2312" w:cs="仿宋_GB2312"/>
                <w:color w:val="000000"/>
                <w:sz w:val="24"/>
              </w:rPr>
              <w:t>李会德</w:t>
            </w:r>
          </w:p>
        </w:tc>
        <w:tc>
          <w:tcPr>
            <w:tcW w:w="545" w:type="pct"/>
            <w:tcBorders>
              <w:top w:val="single" w:color="auto" w:sz="4" w:space="0"/>
              <w:left w:val="single" w:color="auto" w:sz="4" w:space="0"/>
              <w:bottom w:val="single" w:color="auto" w:sz="4" w:space="0"/>
              <w:right w:val="single" w:color="auto" w:sz="4" w:space="0"/>
            </w:tcBorders>
            <w:vAlign w:val="center"/>
          </w:tcPr>
          <w:p w14:paraId="7B3AADED">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rPr>
            </w:pPr>
            <w:r>
              <w:rPr>
                <w:rFonts w:hint="eastAsia" w:ascii="仿宋_GB2312" w:hAnsi="Arial" w:eastAsia="仿宋_GB2312" w:cs="Arial"/>
                <w:snapToGrid w:val="0"/>
                <w:color w:val="000000"/>
                <w:kern w:val="0"/>
                <w:sz w:val="24"/>
              </w:rPr>
              <w:t>娄中元</w:t>
            </w:r>
          </w:p>
        </w:tc>
      </w:tr>
      <w:tr w14:paraId="5344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253" w:type="pct"/>
            <w:vMerge w:val="continue"/>
            <w:tcBorders>
              <w:left w:val="single" w:color="auto" w:sz="4" w:space="0"/>
              <w:right w:val="single" w:color="auto" w:sz="4" w:space="0"/>
            </w:tcBorders>
            <w:vAlign w:val="center"/>
          </w:tcPr>
          <w:p w14:paraId="1B9E2C0C">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258" w:type="pct"/>
            <w:vMerge w:val="continue"/>
            <w:tcBorders>
              <w:left w:val="single" w:color="auto" w:sz="4" w:space="0"/>
              <w:right w:val="single" w:color="auto" w:sz="4" w:space="0"/>
            </w:tcBorders>
            <w:vAlign w:val="center"/>
          </w:tcPr>
          <w:p w14:paraId="0AA09CB3">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868" w:type="pct"/>
            <w:tcBorders>
              <w:top w:val="single" w:color="auto" w:sz="4" w:space="0"/>
              <w:left w:val="single" w:color="auto" w:sz="4" w:space="0"/>
              <w:bottom w:val="single" w:color="auto" w:sz="4" w:space="0"/>
              <w:right w:val="single" w:color="auto" w:sz="4" w:space="0"/>
            </w:tcBorders>
            <w:vAlign w:val="center"/>
          </w:tcPr>
          <w:p w14:paraId="108A2D74">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highlight w:val="yellow"/>
              </w:rPr>
            </w:pPr>
            <w:r>
              <w:rPr>
                <w:rFonts w:hint="eastAsia" w:ascii="仿宋_GB2312" w:hAnsi="Arial" w:eastAsia="仿宋_GB2312" w:cs="Arial"/>
                <w:snapToGrid w:val="0"/>
                <w:color w:val="000000"/>
                <w:kern w:val="0"/>
                <w:sz w:val="24"/>
                <w:lang w:eastAsia="en-US"/>
              </w:rPr>
              <w:t>1</w:t>
            </w:r>
            <w:r>
              <w:rPr>
                <w:rFonts w:hint="eastAsia" w:ascii="仿宋_GB2312" w:hAnsi="Arial" w:eastAsia="仿宋_GB2312" w:cs="Arial"/>
                <w:snapToGrid w:val="0"/>
                <w:color w:val="000000"/>
                <w:kern w:val="0"/>
                <w:sz w:val="24"/>
              </w:rPr>
              <w:t>5:4</w:t>
            </w:r>
            <w:r>
              <w:rPr>
                <w:rFonts w:hint="eastAsia" w:ascii="仿宋_GB2312" w:hAnsi="Arial" w:eastAsia="仿宋_GB2312" w:cs="Arial"/>
                <w:snapToGrid w:val="0"/>
                <w:color w:val="000000"/>
                <w:kern w:val="0"/>
                <w:sz w:val="24"/>
                <w:lang w:eastAsia="en-US"/>
              </w:rPr>
              <w:t>0</w:t>
            </w:r>
            <w:r>
              <w:rPr>
                <w:rFonts w:hint="eastAsia" w:ascii="仿宋_GB2312" w:hAnsi="Arial" w:eastAsia="仿宋_GB2312" w:cs="Arial"/>
                <w:snapToGrid w:val="0"/>
                <w:color w:val="000000"/>
                <w:kern w:val="0"/>
                <w:sz w:val="24"/>
              </w:rPr>
              <w:t>-</w:t>
            </w:r>
            <w:r>
              <w:rPr>
                <w:rFonts w:hint="eastAsia" w:ascii="仿宋_GB2312" w:hAnsi="Arial" w:eastAsia="仿宋_GB2312" w:cs="Arial"/>
                <w:snapToGrid w:val="0"/>
                <w:color w:val="000000"/>
                <w:kern w:val="0"/>
                <w:sz w:val="24"/>
                <w:lang w:eastAsia="en-US"/>
              </w:rPr>
              <w:t>1</w:t>
            </w:r>
            <w:r>
              <w:rPr>
                <w:rFonts w:hint="eastAsia" w:ascii="仿宋_GB2312" w:hAnsi="Arial" w:eastAsia="仿宋_GB2312" w:cs="Arial"/>
                <w:snapToGrid w:val="0"/>
                <w:color w:val="000000"/>
                <w:kern w:val="0"/>
                <w:sz w:val="24"/>
              </w:rPr>
              <w:t>7:00</w:t>
            </w:r>
          </w:p>
        </w:tc>
        <w:tc>
          <w:tcPr>
            <w:tcW w:w="1568" w:type="pct"/>
            <w:tcBorders>
              <w:top w:val="single" w:color="auto" w:sz="4" w:space="0"/>
              <w:left w:val="single" w:color="auto" w:sz="4" w:space="0"/>
              <w:bottom w:val="single" w:color="auto" w:sz="4" w:space="0"/>
              <w:right w:val="single" w:color="auto" w:sz="4" w:space="0"/>
            </w:tcBorders>
            <w:vAlign w:val="center"/>
          </w:tcPr>
          <w:p w14:paraId="3EF8D1B4">
            <w:pPr>
              <w:widowControl/>
              <w:kinsoku w:val="0"/>
              <w:autoSpaceDE w:val="0"/>
              <w:autoSpaceDN w:val="0"/>
              <w:adjustRightInd w:val="0"/>
              <w:snapToGrid w:val="0"/>
              <w:spacing w:line="360" w:lineRule="exact"/>
              <w:jc w:val="center"/>
              <w:textAlignment w:val="baseline"/>
              <w:rPr>
                <w:rFonts w:ascii="仿宋_GB2312" w:hAnsi="Arial" w:eastAsia="仿宋_GB2312" w:cs="Arial"/>
                <w:snapToGrid w:val="0"/>
                <w:color w:val="000000"/>
                <w:kern w:val="0"/>
                <w:sz w:val="28"/>
                <w:szCs w:val="28"/>
                <w:highlight w:val="yellow"/>
              </w:rPr>
            </w:pPr>
            <w:r>
              <w:rPr>
                <w:rFonts w:hint="eastAsia" w:ascii="仿宋_GB2312" w:hAnsi="仿宋" w:eastAsia="仿宋_GB2312" w:cs="仿宋_GB2312"/>
                <w:color w:val="000000"/>
                <w:sz w:val="24"/>
              </w:rPr>
              <w:t>正确</w:t>
            </w:r>
            <w:r>
              <w:rPr>
                <w:rFonts w:ascii="仿宋_GB2312" w:hAnsi="仿宋" w:eastAsia="仿宋_GB2312" w:cs="仿宋_GB2312"/>
                <w:color w:val="000000"/>
                <w:sz w:val="24"/>
              </w:rPr>
              <w:t>理解建设行政主管部门发布的计价方法</w:t>
            </w:r>
            <w:r>
              <w:rPr>
                <w:rFonts w:hint="eastAsia" w:ascii="仿宋_GB2312" w:hAnsi="仿宋" w:eastAsia="仿宋_GB2312" w:cs="仿宋_GB2312"/>
                <w:color w:val="000000"/>
                <w:sz w:val="24"/>
              </w:rPr>
              <w:t>和</w:t>
            </w:r>
            <w:r>
              <w:rPr>
                <w:rFonts w:ascii="仿宋_GB2312" w:hAnsi="仿宋" w:eastAsia="仿宋_GB2312" w:cs="仿宋_GB2312"/>
                <w:color w:val="000000"/>
                <w:sz w:val="24"/>
              </w:rPr>
              <w:t>计价标准</w:t>
            </w:r>
          </w:p>
        </w:tc>
        <w:tc>
          <w:tcPr>
            <w:tcW w:w="1504" w:type="pct"/>
            <w:tcBorders>
              <w:top w:val="single" w:color="auto" w:sz="4" w:space="0"/>
              <w:left w:val="single" w:color="auto" w:sz="4" w:space="0"/>
              <w:bottom w:val="single" w:color="auto" w:sz="4" w:space="0"/>
              <w:right w:val="single" w:color="auto" w:sz="4" w:space="0"/>
            </w:tcBorders>
            <w:vAlign w:val="center"/>
          </w:tcPr>
          <w:p w14:paraId="74D91F5F">
            <w:pPr>
              <w:widowControl/>
              <w:kinsoku w:val="0"/>
              <w:autoSpaceDE w:val="0"/>
              <w:autoSpaceDN w:val="0"/>
              <w:adjustRightInd w:val="0"/>
              <w:snapToGrid w:val="0"/>
              <w:spacing w:line="48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省造价协会秘书长</w:t>
            </w:r>
          </w:p>
          <w:p w14:paraId="2A4FE122">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8"/>
                <w:szCs w:val="28"/>
              </w:rPr>
            </w:pPr>
            <w:r>
              <w:rPr>
                <w:rFonts w:hint="eastAsia" w:ascii="仿宋_GB2312" w:hAnsi="仿宋" w:eastAsia="仿宋_GB2312" w:cs="仿宋_GB2312"/>
                <w:color w:val="000000"/>
                <w:sz w:val="24"/>
              </w:rPr>
              <w:t>于振平</w:t>
            </w:r>
          </w:p>
        </w:tc>
        <w:tc>
          <w:tcPr>
            <w:tcW w:w="545" w:type="pct"/>
            <w:tcBorders>
              <w:top w:val="single" w:color="auto" w:sz="4" w:space="0"/>
              <w:left w:val="single" w:color="auto" w:sz="4" w:space="0"/>
              <w:bottom w:val="single" w:color="auto" w:sz="4" w:space="0"/>
              <w:right w:val="single" w:color="auto" w:sz="4" w:space="0"/>
            </w:tcBorders>
            <w:vAlign w:val="center"/>
          </w:tcPr>
          <w:p w14:paraId="3EAE529D">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r>
              <w:rPr>
                <w:rFonts w:hint="eastAsia" w:ascii="仿宋_GB2312" w:hAnsi="Arial" w:eastAsia="仿宋_GB2312" w:cs="Arial"/>
                <w:snapToGrid w:val="0"/>
                <w:color w:val="000000"/>
                <w:kern w:val="0"/>
                <w:sz w:val="24"/>
              </w:rPr>
              <w:t>杨宝峰</w:t>
            </w:r>
          </w:p>
        </w:tc>
      </w:tr>
      <w:tr w14:paraId="55A5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253" w:type="pct"/>
            <w:vMerge w:val="restart"/>
            <w:tcBorders>
              <w:left w:val="single" w:color="auto" w:sz="4" w:space="0"/>
              <w:right w:val="single" w:color="auto" w:sz="4" w:space="0"/>
            </w:tcBorders>
            <w:vAlign w:val="center"/>
          </w:tcPr>
          <w:p w14:paraId="7AB9783B">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r>
              <w:rPr>
                <w:rFonts w:hint="eastAsia" w:ascii="仿宋_GB2312" w:hAnsi="Arial" w:eastAsia="仿宋_GB2312" w:cs="Arial"/>
                <w:snapToGrid w:val="0"/>
                <w:color w:val="000000"/>
                <w:kern w:val="0"/>
                <w:sz w:val="24"/>
              </w:rPr>
              <w:t>8</w:t>
            </w:r>
            <w:r>
              <w:rPr>
                <w:rFonts w:hint="eastAsia" w:ascii="仿宋_GB2312" w:hAnsi="Arial" w:eastAsia="仿宋_GB2312" w:cs="Arial"/>
                <w:snapToGrid w:val="0"/>
                <w:color w:val="000000"/>
                <w:kern w:val="0"/>
                <w:sz w:val="24"/>
                <w:lang w:eastAsia="en-US"/>
              </w:rPr>
              <w:t>月</w:t>
            </w:r>
          </w:p>
          <w:p w14:paraId="181C8EF4">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r>
              <w:rPr>
                <w:rFonts w:hint="eastAsia" w:ascii="仿宋_GB2312" w:hAnsi="Arial" w:eastAsia="仿宋_GB2312" w:cs="Arial"/>
                <w:snapToGrid w:val="0"/>
                <w:color w:val="000000"/>
                <w:kern w:val="0"/>
                <w:sz w:val="24"/>
              </w:rPr>
              <w:t>9</w:t>
            </w:r>
            <w:r>
              <w:rPr>
                <w:rFonts w:hint="eastAsia" w:ascii="仿宋_GB2312" w:hAnsi="Arial" w:eastAsia="仿宋_GB2312" w:cs="Arial"/>
                <w:snapToGrid w:val="0"/>
                <w:color w:val="000000"/>
                <w:kern w:val="0"/>
                <w:sz w:val="24"/>
                <w:lang w:eastAsia="en-US"/>
              </w:rPr>
              <w:t>日</w:t>
            </w:r>
          </w:p>
        </w:tc>
        <w:tc>
          <w:tcPr>
            <w:tcW w:w="258" w:type="pct"/>
            <w:vMerge w:val="restart"/>
            <w:tcBorders>
              <w:left w:val="single" w:color="auto" w:sz="4" w:space="0"/>
              <w:right w:val="single" w:color="auto" w:sz="4" w:space="0"/>
            </w:tcBorders>
            <w:vAlign w:val="center"/>
          </w:tcPr>
          <w:p w14:paraId="0B19E84D">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rPr>
            </w:pPr>
            <w:r>
              <w:rPr>
                <w:rFonts w:hint="eastAsia" w:ascii="仿宋_GB2312" w:hAnsi="Arial" w:eastAsia="仿宋_GB2312" w:cs="Arial"/>
                <w:snapToGrid w:val="0"/>
                <w:color w:val="000000"/>
                <w:kern w:val="0"/>
                <w:sz w:val="24"/>
              </w:rPr>
              <w:t>上午</w:t>
            </w:r>
          </w:p>
        </w:tc>
        <w:tc>
          <w:tcPr>
            <w:tcW w:w="868" w:type="pct"/>
            <w:tcBorders>
              <w:top w:val="single" w:color="auto" w:sz="4" w:space="0"/>
              <w:left w:val="single" w:color="auto" w:sz="4" w:space="0"/>
              <w:bottom w:val="single" w:color="auto" w:sz="4" w:space="0"/>
              <w:right w:val="single" w:color="auto" w:sz="4" w:space="0"/>
            </w:tcBorders>
            <w:vAlign w:val="center"/>
          </w:tcPr>
          <w:p w14:paraId="7422E435">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9:00-10:30</w:t>
            </w:r>
          </w:p>
        </w:tc>
        <w:tc>
          <w:tcPr>
            <w:tcW w:w="1568" w:type="pct"/>
            <w:tcBorders>
              <w:top w:val="single" w:color="auto" w:sz="4" w:space="0"/>
              <w:left w:val="single" w:color="auto" w:sz="4" w:space="0"/>
              <w:bottom w:val="single" w:color="auto" w:sz="4" w:space="0"/>
              <w:right w:val="single" w:color="auto" w:sz="4" w:space="0"/>
            </w:tcBorders>
            <w:vAlign w:val="center"/>
          </w:tcPr>
          <w:p w14:paraId="63202BEC">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山东省高院鉴定名册管理的相关规定与鉴定人执业纪律</w:t>
            </w:r>
          </w:p>
        </w:tc>
        <w:tc>
          <w:tcPr>
            <w:tcW w:w="1504" w:type="pct"/>
            <w:tcBorders>
              <w:top w:val="single" w:color="auto" w:sz="4" w:space="0"/>
              <w:left w:val="single" w:color="auto" w:sz="4" w:space="0"/>
              <w:bottom w:val="single" w:color="auto" w:sz="4" w:space="0"/>
              <w:right w:val="single" w:color="auto" w:sz="4" w:space="0"/>
            </w:tcBorders>
            <w:vAlign w:val="center"/>
          </w:tcPr>
          <w:p w14:paraId="500C064F">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省高院技术室副主任</w:t>
            </w:r>
          </w:p>
          <w:p w14:paraId="52EE2FF6">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李素英</w:t>
            </w:r>
          </w:p>
        </w:tc>
        <w:tc>
          <w:tcPr>
            <w:tcW w:w="545" w:type="pct"/>
            <w:tcBorders>
              <w:top w:val="single" w:color="auto" w:sz="4" w:space="0"/>
              <w:left w:val="single" w:color="auto" w:sz="4" w:space="0"/>
              <w:bottom w:val="single" w:color="auto" w:sz="4" w:space="0"/>
              <w:right w:val="single" w:color="auto" w:sz="4" w:space="0"/>
            </w:tcBorders>
            <w:vAlign w:val="center"/>
          </w:tcPr>
          <w:p w14:paraId="7C125B9F">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lang w:eastAsia="en-US"/>
              </w:rPr>
            </w:pPr>
            <w:r>
              <w:rPr>
                <w:rFonts w:hint="eastAsia" w:ascii="仿宋_GB2312" w:hAnsi="仿宋" w:eastAsia="仿宋_GB2312" w:cs="仿宋_GB2312"/>
                <w:color w:val="000000"/>
                <w:sz w:val="24"/>
              </w:rPr>
              <w:t>杨宝峰</w:t>
            </w:r>
          </w:p>
        </w:tc>
      </w:tr>
      <w:tr w14:paraId="1623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253" w:type="pct"/>
            <w:vMerge w:val="continue"/>
            <w:tcBorders>
              <w:left w:val="single" w:color="auto" w:sz="4" w:space="0"/>
              <w:right w:val="single" w:color="auto" w:sz="4" w:space="0"/>
            </w:tcBorders>
            <w:vAlign w:val="center"/>
          </w:tcPr>
          <w:p w14:paraId="21912938">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258" w:type="pct"/>
            <w:vMerge w:val="continue"/>
            <w:tcBorders>
              <w:left w:val="single" w:color="auto" w:sz="4" w:space="0"/>
              <w:right w:val="single" w:color="auto" w:sz="4" w:space="0"/>
            </w:tcBorders>
            <w:vAlign w:val="center"/>
          </w:tcPr>
          <w:p w14:paraId="638A226A">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868" w:type="pct"/>
            <w:tcBorders>
              <w:top w:val="single" w:color="auto" w:sz="4" w:space="0"/>
              <w:left w:val="single" w:color="auto" w:sz="4" w:space="0"/>
              <w:bottom w:val="single" w:color="auto" w:sz="4" w:space="0"/>
              <w:right w:val="single" w:color="auto" w:sz="4" w:space="0"/>
            </w:tcBorders>
            <w:vAlign w:val="center"/>
          </w:tcPr>
          <w:p w14:paraId="0CE73946">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10:30-12:00</w:t>
            </w:r>
          </w:p>
        </w:tc>
        <w:tc>
          <w:tcPr>
            <w:tcW w:w="1568" w:type="pct"/>
            <w:tcBorders>
              <w:top w:val="single" w:color="auto" w:sz="4" w:space="0"/>
              <w:left w:val="single" w:color="auto" w:sz="4" w:space="0"/>
              <w:bottom w:val="single" w:color="auto" w:sz="4" w:space="0"/>
              <w:right w:val="single" w:color="auto" w:sz="4" w:space="0"/>
            </w:tcBorders>
            <w:vAlign w:val="center"/>
          </w:tcPr>
          <w:p w14:paraId="4AA7310A">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鉴定意见错误的救济机制</w:t>
            </w:r>
          </w:p>
        </w:tc>
        <w:tc>
          <w:tcPr>
            <w:tcW w:w="1504" w:type="pct"/>
            <w:tcBorders>
              <w:top w:val="single" w:color="auto" w:sz="4" w:space="0"/>
              <w:left w:val="single" w:color="auto" w:sz="4" w:space="0"/>
              <w:bottom w:val="single" w:color="auto" w:sz="4" w:space="0"/>
              <w:right w:val="single" w:color="auto" w:sz="4" w:space="0"/>
            </w:tcBorders>
            <w:vAlign w:val="center"/>
          </w:tcPr>
          <w:p w14:paraId="196D80B2">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省协会调解委员会副主任</w:t>
            </w:r>
          </w:p>
          <w:p w14:paraId="0725BB04">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lang w:eastAsia="en-US"/>
              </w:rPr>
            </w:pPr>
            <w:r>
              <w:rPr>
                <w:rFonts w:hint="eastAsia" w:ascii="仿宋_GB2312" w:hAnsi="仿宋" w:eastAsia="仿宋_GB2312" w:cs="仿宋_GB2312"/>
                <w:color w:val="000000"/>
                <w:sz w:val="24"/>
              </w:rPr>
              <w:t>刘继亮</w:t>
            </w:r>
          </w:p>
        </w:tc>
        <w:tc>
          <w:tcPr>
            <w:tcW w:w="545" w:type="pct"/>
            <w:tcBorders>
              <w:top w:val="single" w:color="auto" w:sz="4" w:space="0"/>
              <w:left w:val="single" w:color="auto" w:sz="4" w:space="0"/>
              <w:bottom w:val="single" w:color="auto" w:sz="4" w:space="0"/>
              <w:right w:val="single" w:color="auto" w:sz="4" w:space="0"/>
            </w:tcBorders>
            <w:vAlign w:val="center"/>
          </w:tcPr>
          <w:p w14:paraId="053007E2">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lang w:eastAsia="en-US"/>
              </w:rPr>
            </w:pPr>
            <w:r>
              <w:rPr>
                <w:rFonts w:hint="eastAsia" w:ascii="仿宋_GB2312" w:hAnsi="仿宋" w:eastAsia="仿宋_GB2312" w:cs="仿宋_GB2312"/>
                <w:color w:val="000000"/>
                <w:sz w:val="24"/>
              </w:rPr>
              <w:t>杨宝峰</w:t>
            </w:r>
          </w:p>
        </w:tc>
      </w:tr>
      <w:tr w14:paraId="7C74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253" w:type="pct"/>
            <w:vMerge w:val="continue"/>
            <w:tcBorders>
              <w:left w:val="single" w:color="auto" w:sz="4" w:space="0"/>
              <w:right w:val="single" w:color="auto" w:sz="4" w:space="0"/>
            </w:tcBorders>
            <w:vAlign w:val="center"/>
          </w:tcPr>
          <w:p w14:paraId="67D0FB59">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258" w:type="pct"/>
            <w:vMerge w:val="restart"/>
            <w:tcBorders>
              <w:left w:val="single" w:color="auto" w:sz="4" w:space="0"/>
              <w:right w:val="single" w:color="auto" w:sz="4" w:space="0"/>
            </w:tcBorders>
            <w:vAlign w:val="center"/>
          </w:tcPr>
          <w:p w14:paraId="5AAE9A7C">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rPr>
            </w:pPr>
            <w:r>
              <w:rPr>
                <w:rFonts w:hint="eastAsia" w:ascii="仿宋_GB2312" w:hAnsi="Arial" w:eastAsia="仿宋_GB2312" w:cs="Arial"/>
                <w:snapToGrid w:val="0"/>
                <w:color w:val="000000"/>
                <w:kern w:val="0"/>
                <w:sz w:val="24"/>
              </w:rPr>
              <w:t>下午</w:t>
            </w:r>
          </w:p>
        </w:tc>
        <w:tc>
          <w:tcPr>
            <w:tcW w:w="868" w:type="pct"/>
            <w:tcBorders>
              <w:top w:val="single" w:color="auto" w:sz="4" w:space="0"/>
              <w:left w:val="single" w:color="auto" w:sz="4" w:space="0"/>
              <w:bottom w:val="single" w:color="auto" w:sz="4" w:space="0"/>
              <w:right w:val="single" w:color="auto" w:sz="4" w:space="0"/>
            </w:tcBorders>
            <w:vAlign w:val="center"/>
          </w:tcPr>
          <w:p w14:paraId="6D828BE4">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13:00-16:30</w:t>
            </w:r>
          </w:p>
        </w:tc>
        <w:tc>
          <w:tcPr>
            <w:tcW w:w="1568" w:type="pct"/>
            <w:tcBorders>
              <w:top w:val="single" w:color="auto" w:sz="4" w:space="0"/>
              <w:left w:val="single" w:color="auto" w:sz="4" w:space="0"/>
              <w:bottom w:val="single" w:color="auto" w:sz="4" w:space="0"/>
              <w:right w:val="single" w:color="auto" w:sz="4" w:space="0"/>
            </w:tcBorders>
            <w:vAlign w:val="center"/>
          </w:tcPr>
          <w:p w14:paraId="59C9AB14">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造价鉴定实务中的常见问题</w:t>
            </w:r>
          </w:p>
        </w:tc>
        <w:tc>
          <w:tcPr>
            <w:tcW w:w="1504" w:type="pct"/>
            <w:tcBorders>
              <w:top w:val="single" w:color="auto" w:sz="4" w:space="0"/>
              <w:left w:val="single" w:color="auto" w:sz="4" w:space="0"/>
              <w:bottom w:val="single" w:color="auto" w:sz="4" w:space="0"/>
              <w:right w:val="single" w:color="auto" w:sz="4" w:space="0"/>
            </w:tcBorders>
            <w:vAlign w:val="center"/>
          </w:tcPr>
          <w:p w14:paraId="4796BEE8">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青岛造价协会党支部书记</w:t>
            </w:r>
          </w:p>
          <w:p w14:paraId="59446D3C">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lang w:eastAsia="en-US"/>
              </w:rPr>
            </w:pPr>
            <w:r>
              <w:rPr>
                <w:rFonts w:hint="eastAsia" w:ascii="仿宋_GB2312" w:hAnsi="仿宋" w:eastAsia="仿宋_GB2312" w:cs="仿宋_GB2312"/>
                <w:color w:val="000000"/>
                <w:sz w:val="24"/>
              </w:rPr>
              <w:t>李景璐</w:t>
            </w:r>
          </w:p>
        </w:tc>
        <w:tc>
          <w:tcPr>
            <w:tcW w:w="545" w:type="pct"/>
            <w:tcBorders>
              <w:top w:val="single" w:color="auto" w:sz="4" w:space="0"/>
              <w:left w:val="single" w:color="auto" w:sz="4" w:space="0"/>
              <w:bottom w:val="single" w:color="auto" w:sz="4" w:space="0"/>
              <w:right w:val="single" w:color="auto" w:sz="4" w:space="0"/>
            </w:tcBorders>
            <w:vAlign w:val="center"/>
          </w:tcPr>
          <w:p w14:paraId="0DDE885B">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lang w:eastAsia="en-US"/>
              </w:rPr>
            </w:pPr>
            <w:r>
              <w:rPr>
                <w:rFonts w:hint="eastAsia" w:ascii="仿宋_GB2312" w:hAnsi="仿宋" w:eastAsia="仿宋_GB2312" w:cs="仿宋_GB2312"/>
                <w:color w:val="000000"/>
                <w:sz w:val="24"/>
              </w:rPr>
              <w:t>杨宝峰</w:t>
            </w:r>
          </w:p>
        </w:tc>
      </w:tr>
      <w:tr w14:paraId="1465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253" w:type="pct"/>
            <w:vMerge w:val="continue"/>
            <w:tcBorders>
              <w:left w:val="single" w:color="auto" w:sz="4" w:space="0"/>
              <w:right w:val="single" w:color="auto" w:sz="4" w:space="0"/>
            </w:tcBorders>
            <w:vAlign w:val="center"/>
          </w:tcPr>
          <w:p w14:paraId="1A8662EF">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258" w:type="pct"/>
            <w:vMerge w:val="continue"/>
            <w:tcBorders>
              <w:left w:val="single" w:color="auto" w:sz="4" w:space="0"/>
              <w:right w:val="single" w:color="auto" w:sz="4" w:space="0"/>
            </w:tcBorders>
            <w:vAlign w:val="center"/>
          </w:tcPr>
          <w:p w14:paraId="11061691">
            <w:pPr>
              <w:widowControl/>
              <w:kinsoku w:val="0"/>
              <w:autoSpaceDE w:val="0"/>
              <w:autoSpaceDN w:val="0"/>
              <w:adjustRightInd w:val="0"/>
              <w:snapToGrid w:val="0"/>
              <w:spacing w:line="480" w:lineRule="exact"/>
              <w:jc w:val="center"/>
              <w:textAlignment w:val="baseline"/>
              <w:rPr>
                <w:rFonts w:ascii="仿宋_GB2312" w:hAnsi="Arial" w:eastAsia="仿宋_GB2312" w:cs="Arial"/>
                <w:snapToGrid w:val="0"/>
                <w:color w:val="000000"/>
                <w:kern w:val="0"/>
                <w:sz w:val="24"/>
                <w:lang w:eastAsia="en-US"/>
              </w:rPr>
            </w:pPr>
          </w:p>
        </w:tc>
        <w:tc>
          <w:tcPr>
            <w:tcW w:w="868" w:type="pct"/>
            <w:tcBorders>
              <w:top w:val="single" w:color="auto" w:sz="4" w:space="0"/>
              <w:left w:val="single" w:color="auto" w:sz="4" w:space="0"/>
              <w:bottom w:val="single" w:color="auto" w:sz="4" w:space="0"/>
              <w:right w:val="single" w:color="auto" w:sz="4" w:space="0"/>
            </w:tcBorders>
            <w:vAlign w:val="center"/>
          </w:tcPr>
          <w:p w14:paraId="1D6086E5">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16:30-17:00</w:t>
            </w:r>
          </w:p>
        </w:tc>
        <w:tc>
          <w:tcPr>
            <w:tcW w:w="1568" w:type="pct"/>
            <w:tcBorders>
              <w:top w:val="single" w:color="auto" w:sz="4" w:space="0"/>
              <w:left w:val="single" w:color="auto" w:sz="4" w:space="0"/>
              <w:bottom w:val="single" w:color="auto" w:sz="4" w:space="0"/>
              <w:right w:val="single" w:color="auto" w:sz="4" w:space="0"/>
            </w:tcBorders>
            <w:vAlign w:val="center"/>
          </w:tcPr>
          <w:p w14:paraId="2D1539DD">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rPr>
            </w:pPr>
            <w:r>
              <w:rPr>
                <w:rFonts w:hint="eastAsia" w:ascii="仿宋_GB2312" w:hAnsi="仿宋" w:eastAsia="仿宋_GB2312" w:cs="仿宋_GB2312"/>
                <w:color w:val="000000"/>
                <w:sz w:val="24"/>
              </w:rPr>
              <w:t>结业考试</w:t>
            </w:r>
          </w:p>
        </w:tc>
        <w:tc>
          <w:tcPr>
            <w:tcW w:w="1504" w:type="pct"/>
            <w:tcBorders>
              <w:top w:val="single" w:color="auto" w:sz="4" w:space="0"/>
              <w:left w:val="single" w:color="auto" w:sz="4" w:space="0"/>
              <w:bottom w:val="single" w:color="auto" w:sz="4" w:space="0"/>
              <w:right w:val="single" w:color="auto" w:sz="4" w:space="0"/>
            </w:tcBorders>
            <w:vAlign w:val="center"/>
          </w:tcPr>
          <w:p w14:paraId="21C39DC5">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lang w:eastAsia="en-US"/>
              </w:rPr>
            </w:pPr>
          </w:p>
        </w:tc>
        <w:tc>
          <w:tcPr>
            <w:tcW w:w="545" w:type="pct"/>
            <w:tcBorders>
              <w:top w:val="single" w:color="auto" w:sz="4" w:space="0"/>
              <w:left w:val="single" w:color="auto" w:sz="4" w:space="0"/>
              <w:bottom w:val="single" w:color="auto" w:sz="4" w:space="0"/>
              <w:right w:val="single" w:color="auto" w:sz="4" w:space="0"/>
            </w:tcBorders>
            <w:vAlign w:val="center"/>
          </w:tcPr>
          <w:p w14:paraId="0009CB9D">
            <w:pPr>
              <w:widowControl/>
              <w:kinsoku w:val="0"/>
              <w:autoSpaceDE w:val="0"/>
              <w:autoSpaceDN w:val="0"/>
              <w:adjustRightInd w:val="0"/>
              <w:snapToGrid w:val="0"/>
              <w:spacing w:line="360" w:lineRule="exact"/>
              <w:jc w:val="center"/>
              <w:textAlignment w:val="baseline"/>
              <w:rPr>
                <w:rFonts w:hint="eastAsia" w:ascii="仿宋_GB2312" w:hAnsi="仿宋" w:eastAsia="仿宋_GB2312" w:cs="仿宋_GB2312"/>
                <w:color w:val="000000"/>
                <w:sz w:val="24"/>
                <w:lang w:eastAsia="en-US"/>
              </w:rPr>
            </w:pPr>
            <w:r>
              <w:rPr>
                <w:rFonts w:hint="eastAsia" w:ascii="仿宋_GB2312" w:hAnsi="仿宋" w:eastAsia="仿宋_GB2312" w:cs="仿宋_GB2312"/>
                <w:color w:val="000000"/>
                <w:sz w:val="24"/>
              </w:rPr>
              <w:t>杨宝峰</w:t>
            </w:r>
          </w:p>
        </w:tc>
      </w:tr>
    </w:tbl>
    <w:p w14:paraId="17AC9CEC">
      <w:pPr>
        <w:widowControl/>
        <w:spacing w:line="360" w:lineRule="auto"/>
        <w:jc w:val="left"/>
        <w:rPr>
          <w:rStyle w:val="16"/>
          <w:rFonts w:hint="default" w:ascii="仿宋_GB2312" w:hAnsi="仿宋_GB2312" w:eastAsia="仿宋_GB2312" w:cs="仿宋_GB2312"/>
          <w:b w:val="0"/>
          <w:bCs/>
          <w:kern w:val="0"/>
          <w:sz w:val="32"/>
          <w:szCs w:val="32"/>
          <w:lang w:val="en-US" w:eastAsia="zh-CN" w:bidi="ar"/>
        </w:rPr>
      </w:pPr>
      <w:r>
        <w:rPr>
          <w:rStyle w:val="16"/>
          <w:rFonts w:hint="eastAsia" w:ascii="仿宋_GB2312" w:hAnsi="仿宋_GB2312" w:eastAsia="仿宋_GB2312" w:cs="仿宋_GB2312"/>
          <w:b w:val="0"/>
          <w:bCs/>
          <w:kern w:val="0"/>
          <w:sz w:val="32"/>
          <w:szCs w:val="32"/>
          <w:lang w:val="en-US" w:eastAsia="zh-CN" w:bidi="ar"/>
        </w:rPr>
        <w:t>特此通知。</w:t>
      </w:r>
    </w:p>
    <w:p w14:paraId="0B45BAEE">
      <w:pPr>
        <w:widowControl/>
        <w:spacing w:line="360" w:lineRule="auto"/>
        <w:jc w:val="right"/>
        <w:rPr>
          <w:rStyle w:val="16"/>
          <w:rFonts w:hint="eastAsia" w:ascii="仿宋_GB2312" w:hAnsi="仿宋_GB2312" w:eastAsia="仿宋_GB2312" w:cs="仿宋_GB2312"/>
          <w:kern w:val="0"/>
          <w:sz w:val="32"/>
          <w:szCs w:val="32"/>
          <w:lang w:bidi="ar"/>
        </w:rPr>
      </w:pPr>
    </w:p>
    <w:p w14:paraId="0C797999">
      <w:pPr>
        <w:widowControl/>
        <w:spacing w:line="360" w:lineRule="auto"/>
        <w:jc w:val="right"/>
        <w:rPr>
          <w:rFonts w:hint="eastAsia" w:ascii="仿宋_GB2312" w:hAnsi="仿宋_GB2312" w:eastAsia="仿宋_GB2312" w:cs="仿宋_GB2312"/>
          <w:sz w:val="32"/>
          <w:szCs w:val="32"/>
        </w:rPr>
      </w:pPr>
      <w:r>
        <w:rPr>
          <w:rStyle w:val="16"/>
          <w:rFonts w:hint="eastAsia" w:ascii="仿宋_GB2312" w:hAnsi="仿宋_GB2312" w:eastAsia="仿宋_GB2312" w:cs="仿宋_GB2312"/>
          <w:kern w:val="0"/>
          <w:sz w:val="32"/>
          <w:szCs w:val="32"/>
          <w:lang w:bidi="ar"/>
        </w:rPr>
        <w:t>山东省工程</w:t>
      </w:r>
      <w:bookmarkStart w:id="1" w:name="_GoBack"/>
      <w:bookmarkEnd w:id="1"/>
      <w:r>
        <w:rPr>
          <w:rStyle w:val="16"/>
          <w:rFonts w:hint="eastAsia" w:ascii="仿宋_GB2312" w:hAnsi="仿宋_GB2312" w:eastAsia="仿宋_GB2312" w:cs="仿宋_GB2312"/>
          <w:kern w:val="0"/>
          <w:sz w:val="32"/>
          <w:szCs w:val="32"/>
          <w:lang w:bidi="ar"/>
        </w:rPr>
        <w:t>建设标准造价协会</w:t>
      </w:r>
    </w:p>
    <w:p w14:paraId="183ABDD5">
      <w:pPr>
        <w:widowControl/>
        <w:spacing w:line="360" w:lineRule="auto"/>
        <w:jc w:val="right"/>
        <w:rPr>
          <w:rFonts w:hint="eastAsia" w:ascii="仿宋_GB2312" w:hAnsi="仿宋_GB2312" w:eastAsia="仿宋_GB2312" w:cs="仿宋_GB2312"/>
          <w:sz w:val="32"/>
          <w:szCs w:val="32"/>
        </w:rPr>
      </w:pPr>
      <w:r>
        <w:rPr>
          <w:rStyle w:val="16"/>
          <w:rFonts w:hint="eastAsia" w:ascii="仿宋_GB2312" w:hAnsi="仿宋_GB2312" w:eastAsia="仿宋_GB2312" w:cs="仿宋_GB2312"/>
          <w:kern w:val="0"/>
          <w:sz w:val="32"/>
          <w:szCs w:val="32"/>
          <w:lang w:bidi="ar"/>
        </w:rPr>
        <w:t>济南市工程建设标准造价协会</w:t>
      </w:r>
    </w:p>
    <w:p w14:paraId="39961056">
      <w:pPr>
        <w:widowControl/>
        <w:spacing w:line="360" w:lineRule="auto"/>
        <w:jc w:val="right"/>
        <w:rPr>
          <w:rFonts w:hint="eastAsia" w:ascii="仿宋_GB2312" w:hAnsi="仿宋_GB2312" w:eastAsia="仿宋_GB2312" w:cs="仿宋_GB2312"/>
          <w:sz w:val="32"/>
          <w:szCs w:val="32"/>
        </w:rPr>
      </w:pPr>
      <w:r>
        <w:rPr>
          <w:rStyle w:val="16"/>
          <w:rFonts w:hint="eastAsia" w:ascii="仿宋_GB2312" w:hAnsi="仿宋_GB2312" w:eastAsia="仿宋_GB2312" w:cs="仿宋_GB2312"/>
          <w:kern w:val="0"/>
          <w:sz w:val="32"/>
          <w:szCs w:val="32"/>
          <w:lang w:bidi="ar"/>
        </w:rPr>
        <w:t>2026年7月2</w:t>
      </w:r>
      <w:r>
        <w:rPr>
          <w:rStyle w:val="16"/>
          <w:rFonts w:hint="eastAsia" w:ascii="仿宋_GB2312" w:hAnsi="仿宋_GB2312" w:eastAsia="仿宋_GB2312" w:cs="仿宋_GB2312"/>
          <w:kern w:val="0"/>
          <w:sz w:val="32"/>
          <w:szCs w:val="32"/>
          <w:lang w:val="en-US" w:eastAsia="zh-CN" w:bidi="ar"/>
        </w:rPr>
        <w:t>9</w:t>
      </w:r>
      <w:r>
        <w:rPr>
          <w:rStyle w:val="16"/>
          <w:rFonts w:hint="eastAsia" w:ascii="仿宋_GB2312" w:hAnsi="仿宋_GB2312" w:eastAsia="仿宋_GB2312" w:cs="仿宋_GB2312"/>
          <w:kern w:val="0"/>
          <w:sz w:val="32"/>
          <w:szCs w:val="32"/>
          <w:lang w:bidi="ar"/>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99E8FD1-4822-4D16-9BBE-7DC2265E3ADD}"/>
  </w:font>
  <w:font w:name="黑体">
    <w:panose1 w:val="02010609060101010101"/>
    <w:charset w:val="86"/>
    <w:family w:val="auto"/>
    <w:pitch w:val="default"/>
    <w:sig w:usb0="800002BF" w:usb1="38CF7CFA" w:usb2="00000016" w:usb3="00000000" w:csb0="00040001" w:csb1="00000000"/>
    <w:embedRegular r:id="rId2" w:fontKey="{FBDD65AD-47B2-483E-9A3F-CE50AA01D8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3" w:fontKey="{EB972669-DC9F-4216-B9B3-AD3458503BA7}"/>
  </w:font>
  <w:font w:name="仿宋_GB2312">
    <w:panose1 w:val="02010609030101010101"/>
    <w:charset w:val="86"/>
    <w:family w:val="modern"/>
    <w:pitch w:val="default"/>
    <w:sig w:usb0="00000001" w:usb1="080E0000" w:usb2="00000000" w:usb3="00000000" w:csb0="00040000" w:csb1="00000000"/>
    <w:embedRegular r:id="rId4" w:fontKey="{5603ECE7-76D3-44F7-870E-BCD54C716965}"/>
  </w:font>
  <w:font w:name="仿宋">
    <w:panose1 w:val="02010609060101010101"/>
    <w:charset w:val="86"/>
    <w:family w:val="modern"/>
    <w:pitch w:val="default"/>
    <w:sig w:usb0="800002BF" w:usb1="38CF7CFA" w:usb2="00000016" w:usb3="00000000" w:csb0="00040001" w:csb1="00000000"/>
    <w:embedRegular r:id="rId5" w:fontKey="{54799C6B-A9DA-4B82-BC90-7378B31AF88C}"/>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368EF"/>
    <w:multiLevelType w:val="singleLevel"/>
    <w:tmpl w:val="4DC368EF"/>
    <w:lvl w:ilvl="0" w:tentative="0">
      <w:start w:val="5"/>
      <w:numFmt w:val="chineseCounting"/>
      <w:suff w:val="nothing"/>
      <w:lvlText w:val="%1、"/>
      <w:lvlJc w:val="left"/>
      <w:rPr>
        <w:rFonts w:hint="eastAsia"/>
      </w:rPr>
    </w:lvl>
  </w:abstractNum>
  <w:abstractNum w:abstractNumId="1">
    <w:nsid w:val="6318C73F"/>
    <w:multiLevelType w:val="singleLevel"/>
    <w:tmpl w:val="6318C73F"/>
    <w:lvl w:ilvl="0" w:tentative="0">
      <w:start w:val="1"/>
      <w:numFmt w:val="chineseCounting"/>
      <w:suff w:val="nothing"/>
      <w:lvlText w:val="（%1）"/>
      <w:lvlJc w:val="left"/>
      <w:pPr>
        <w:ind w:left="64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6476F5"/>
    <w:rsid w:val="00716294"/>
    <w:rsid w:val="00884FCC"/>
    <w:rsid w:val="00997FC4"/>
    <w:rsid w:val="00F82F5D"/>
    <w:rsid w:val="0EE213FB"/>
    <w:rsid w:val="106476F5"/>
    <w:rsid w:val="148C4283"/>
    <w:rsid w:val="14B360E8"/>
    <w:rsid w:val="23C0729E"/>
    <w:rsid w:val="243948BB"/>
    <w:rsid w:val="26A537CA"/>
    <w:rsid w:val="395A683D"/>
    <w:rsid w:val="3F4A21FD"/>
    <w:rsid w:val="44257F8C"/>
    <w:rsid w:val="446472DA"/>
    <w:rsid w:val="48AD7823"/>
    <w:rsid w:val="4EA27235"/>
    <w:rsid w:val="508B2B17"/>
    <w:rsid w:val="510A55DB"/>
    <w:rsid w:val="51C517FD"/>
    <w:rsid w:val="53905D44"/>
    <w:rsid w:val="58B008E9"/>
    <w:rsid w:val="5DD301DA"/>
    <w:rsid w:val="60AA3E6F"/>
    <w:rsid w:val="695830FD"/>
    <w:rsid w:val="719506F0"/>
    <w:rsid w:val="74C05732"/>
    <w:rsid w:val="7C492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adjustRightInd w:val="0"/>
      <w:spacing w:before="320" w:line="300" w:lineRule="auto"/>
      <w:outlineLvl w:val="0"/>
    </w:pPr>
    <w:rPr>
      <w:rFonts w:ascii="Times New Roman" w:hAnsi="Times New Roman" w:eastAsia="黑体" w:cs="Times New Roman"/>
      <w:color w:val="000000"/>
      <w:kern w:val="44"/>
      <w:sz w:val="32"/>
      <w:szCs w:val="44"/>
    </w:rPr>
  </w:style>
  <w:style w:type="paragraph" w:styleId="3">
    <w:name w:val="heading 2"/>
    <w:next w:val="1"/>
    <w:semiHidden/>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val="en-US" w:eastAsia="zh-CN"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val="en-US" w:eastAsia="zh-CN"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val="en-US" w:eastAsia="zh-CN"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val="en-US" w:eastAsia="zh-CN"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val="en-US" w:eastAsia="zh-CN"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val="en-US" w:eastAsia="zh-CN"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Body Text"/>
    <w:qFormat/>
    <w:uiPriority w:val="0"/>
    <w:pPr>
      <w:widowControl w:val="0"/>
      <w:adjustRightInd w:val="0"/>
      <w:spacing w:before="100" w:after="100" w:line="300" w:lineRule="auto"/>
      <w:ind w:firstLine="1044" w:firstLineChars="200"/>
      <w:jc w:val="both"/>
    </w:pPr>
    <w:rPr>
      <w:rFonts w:ascii="Times New Roman" w:hAnsi="Times New Roman" w:eastAsia="宋体" w:cs="Times New Roman"/>
      <w:kern w:val="2"/>
      <w:sz w:val="24"/>
      <w:szCs w:val="24"/>
      <w:lang w:val="en-US" w:eastAsia="zh-CN" w:bidi="ar-SA"/>
    </w:rPr>
  </w:style>
  <w:style w:type="paragraph" w:styleId="12">
    <w:name w:val="Subtitle"/>
    <w:qFormat/>
    <w:uiPriority w:val="0"/>
    <w:pPr>
      <w:widowControl w:val="0"/>
      <w:adjustRightInd w:val="0"/>
      <w:spacing w:before="100" w:after="100"/>
      <w:jc w:val="center"/>
    </w:pPr>
    <w:rPr>
      <w:rFonts w:ascii="Times New Roman" w:hAnsi="Times New Roman" w:eastAsia="黑体" w:cs="Times New Roman"/>
      <w:kern w:val="28"/>
      <w:sz w:val="32"/>
      <w:szCs w:val="24"/>
      <w:lang w:val="en-US" w:eastAsia="zh-CN" w:bidi="ar-SA"/>
    </w:rPr>
  </w:style>
  <w:style w:type="paragraph" w:styleId="13">
    <w:name w:val="Title"/>
    <w:qFormat/>
    <w:uiPriority w:val="0"/>
    <w:pPr>
      <w:widowControl w:val="0"/>
      <w:adjustRightInd w:val="0"/>
      <w:spacing w:before="100" w:after="100"/>
      <w:jc w:val="center"/>
    </w:pPr>
    <w:rPr>
      <w:rFonts w:ascii="Times New Roman" w:hAnsi="Times New Roman" w:eastAsia="黑体" w:cs="Times New Roman"/>
      <w:kern w:val="2"/>
      <w:sz w:val="36"/>
      <w:szCs w:val="24"/>
      <w:lang w:val="en-US" w:eastAsia="zh-CN" w:bidi="ar-SA"/>
    </w:rPr>
  </w:style>
  <w:style w:type="character" w:styleId="16">
    <w:name w:val="Strong"/>
    <w:basedOn w:val="1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e2696f13-40fe-495e-8255-7cc39bbfe3f6</errorID>
      <errorWord>《山东省高级人民法院对外委托鉴定机构入册名单》</errorWord>
      <group>L1_Other</group>
      <groupName>其他问题</groupName>
      <ability>L2_Consistency</ability>
      <abilityName>一致性检查</abilityName>
      <candidateList>
        <item>山东省高级人民法院工程造价鉴定机构名录</item>
      </candidateList>
      <explain>实体一致性，同一机构名单名称前后表述不一致，后文统一使用“山东省高级人民法院工程造价鉴定机构名录”</explain>
      <paraID>4BDC1B24</paraID>
      <start>59</start>
      <end>78</end>
      <status>modified</status>
      <modifiedWord>山东省高级人民法院工程造价鉴定机构名录</modifiedWord>
      <trackRevisions>false</trackRevisions>
    </reviewItem>
    <reviewItem>
      <errorID>64d7fbd6-4e8f-4987-b39a-d51f8524f7dc</errorID>
      <errorWord>报名</errorWord>
      <group>L1_Word</group>
      <groupName>字词问题</groupName>
      <ability>L2_Typo</ability>
      <abilityName>字词错误</abilityName>
      <candidateList>
        <item> 报名</item>
      </candidateList>
      <explain/>
      <paraID>39F7C06D</paraID>
      <start>2</start>
      <end>5</end>
      <status>modified</status>
      <modifiedWord> 报名</modifiedWord>
      <trackRevisions>false</trackRevisions>
    </reviewItem>
    <reviewItem>
      <errorID>606e04c5-6936-4553-a601-9aff5a3fd677</errorID>
      <errorWord>报名</errorWord>
      <group>L1_Punc</group>
      <groupName>标点问题</groupName>
      <ability>L2_Punc_CN</ability>
      <abilityName>标点符号问题</abilityName>
      <candidateList>
        <item>报名。</item>
      </candidateList>
      <explain/>
      <paraID>39F7C06D</paraID>
      <start>20</start>
      <end>23</end>
      <status>modified</status>
      <modifiedWord>报名。</modifiedWord>
      <trackRevisions>false</trackRevisions>
    </reviewItem>
    <reviewItem>
      <errorID>802b5d23-77a0-46be-b431-49a34fcc1eb2</errorID>
      <errorWord>报名</errorWord>
      <group>L1_Word</group>
      <groupName>字词问题</groupName>
      <ability>L2_Typo</ability>
      <abilityName>字词错误</abilityName>
      <candidateList>
        <item> 报名</item>
      </candidateList>
      <explain/>
      <paraID>6AFBAD06</paraID>
      <start>2</start>
      <end>5</end>
      <status>modified</status>
      <modifiedWord> 报名</modifiedWord>
      <trackRevisions>false</trackRevisions>
    </reviewItem>
    <reviewItem>
      <errorID>39defb6e-78fc-409a-a59b-7b90b4252b59</errorID>
      <errorWord>8</errorWord>
      <group>L1_Punc</group>
      <groupName>标点问题</groupName>
      <ability>L2_Punc_CN</ability>
      <abilityName>标点符号问题</abilityName>
      <candidateList>
        <item>：8</item>
      </candidateList>
      <explain/>
      <paraID>6AFBAD06</paraID>
      <start>9</start>
      <end>11</end>
      <status>modified</status>
      <modifiedWord>：8</modifiedWord>
      <trackRevisions>false</trackRevisions>
    </reviewItem>
    <reviewItem>
      <errorID>e03516de-ef0c-4ddf-b32b-d6bc2fe712c5</errorID>
      <errorWord>、</errorWord>
      <group>L1_Punc</group>
      <groupName>标点问题</groupName>
      <ability>L2_Punc_CN</ability>
      <abilityName>标点符号问题</abilityName>
      <candidateList>
        <item>：</item>
      </candidateList>
      <explain/>
      <paraID>63145B85</paraID>
      <start>1</start>
      <end>2</end>
      <status>modified</status>
      <modifiedWord>：</modifiedWord>
      <trackRevisions>false</trackRevisions>
    </reviewItem>
    <reviewItem>
      <errorID>a786c1bc-3f29-4276-a8ca-0e941c0cc0dd</errorID>
      <errorWord>、</errorWord>
      <group>L1_Punc</group>
      <groupName>标点问题</groupName>
      <ability>L2_Punc_CN</ability>
      <abilityName>标点符号问题</abilityName>
      <candidateList>
        <item>：</item>
      </candidateList>
      <explain/>
      <paraID>4E76A4F6</paraID>
      <start>1</start>
      <end>2</end>
      <status>modified</status>
      <modifiedWord>：</modifiedWord>
      <trackRevisions>false</trackRevisions>
    </reviewItem>
    <reviewItem>
      <errorID>be07a5df-deac-41e4-8175-d9e2bad6dd26</errorID>
      <errorWord>甘肃高级人民法院</errorWord>
      <group>L1_Other</group>
      <groupName>其他问题</groupName>
      <ability>L2_Consistency</ability>
      <abilityName>一致性检查</abilityName>
      <candidateList>
        <item>山东省高级人民法院</item>
      </candidateList>
      <explain>实体一致性，全文培训事项均围绕山东济南开展，前文指导单位为山东省高级人民法院，此处出现不一致的省级法院表述，存在实体不一致错误</explain>
      <paraID>78DB592E</paraID>
      <start>0</start>
      <end>8</end>
      <status>ignored</status>
      <modifiedWord/>
      <trackRevisions>false</trackRevisions>
    </reviewItem>
    <reviewItem>
      <errorID>fc593632-038d-450e-8b12-632424a0428f</errorID>
      <errorWord>青岛造价协会</errorWord>
      <group>L1_Other</group>
      <groupName>其他问题</groupName>
      <ability>L2_Consistency</ability>
      <abilityName>一致性检查</abilityName>
      <candidateList>
        <item>山东省工程建设标准造价协会</item>
      </candidateList>
      <explain>实体一致性，全文涉及的工程造价协会均统一为“山东省工程建设标准造价协会”和“济南市工程建设标准造价协会”，此处出现未提及的“青岛造价协会”，存在实体不一致错误</explain>
      <paraID>4796BEE8</paraID>
      <start>0</start>
      <end>6</end>
      <status>ignored</status>
      <modifiedWord/>
      <trackRevisions>false</trackRevisions>
    </reviewItem>
  </reviewItems>
  <config/>
</contractReview>
</file>

<file path=customXml/itemProps1.xml><?xml version="1.0" encoding="utf-8"?>
<ds:datastoreItem xmlns:ds="http://schemas.openxmlformats.org/officeDocument/2006/customXml" ds:itemID="{A61B2BED-04BE-4386-B991-78D2E4EFDB78}">
  <ds:schemaRefs/>
</ds:datastoreItem>
</file>

<file path=docProps/app.xml><?xml version="1.0" encoding="utf-8"?>
<Properties xmlns="http://schemas.openxmlformats.org/officeDocument/2006/extended-properties" xmlns:vt="http://schemas.openxmlformats.org/officeDocument/2006/docPropsVTypes">
  <Template>Normal.dotm</Template>
  <Pages>4</Pages>
  <Words>768</Words>
  <Characters>794</Characters>
  <Lines>10</Lines>
  <Paragraphs>2</Paragraphs>
  <TotalTime>6</TotalTime>
  <ScaleCrop>false</ScaleCrop>
  <LinksUpToDate>false</LinksUpToDate>
  <CharactersWithSpaces>800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2026-07-27T09:10:00Z</dcterms:created>
  <dc:creator>知足常乐</dc:creator>
  <cp:lastModifiedBy>知足常乐</cp:lastModifiedBy>
  <dcterms:modified xsi:type="dcterms:W3CDTF">2026-07-30T00:50:35Z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5D573D260BC34A31BDC40D5931EDCDB5_13</vt:lpwstr>
  </property>
  <property fmtid="{D5CDD505-2E9C-101B-9397-08002B2CF9AE}" pid="4" name="KSOTemplateDocerSaveRecord">
    <vt:lpwstr>eyJoZGlkIjoiYWY2Nzg4MTBlNmRhYTUxN2Q5MzNjMTNlOTJjM2Y0OGMiLCJ1c2VySWQiOiIyODQ5MjMwNjUifQ==</vt:lpwstr>
  </property>
</Properties>
</file>